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56BF4" w14:textId="33E6B380" w:rsidR="005C66F3" w:rsidRDefault="005C66F3" w:rsidP="005413D3">
      <w:pPr>
        <w:jc w:val="center"/>
        <w:rPr>
          <w:rFonts w:asciiTheme="minorHAnsi" w:hAnsiTheme="minorHAnsi" w:cstheme="minorHAnsi"/>
          <w:sz w:val="52"/>
        </w:rPr>
      </w:pPr>
      <w:bookmarkStart w:id="0" w:name="_GoBack"/>
      <w:bookmarkEnd w:id="0"/>
    </w:p>
    <w:p w14:paraId="2F0686F3" w14:textId="01C458C1" w:rsidR="00610D04" w:rsidRPr="00983510" w:rsidRDefault="00E20649" w:rsidP="005413D3">
      <w:pPr>
        <w:jc w:val="center"/>
        <w:rPr>
          <w:rFonts w:asciiTheme="minorHAnsi" w:hAnsiTheme="minorHAnsi" w:cstheme="minorHAnsi"/>
          <w:sz w:val="52"/>
        </w:rPr>
      </w:pPr>
      <w:r>
        <w:rPr>
          <w:rFonts w:asciiTheme="minorHAnsi" w:hAnsiTheme="minorHAnsi" w:cstheme="minorHAnsi"/>
          <w:sz w:val="52"/>
        </w:rPr>
        <w:t>METFORMIN</w:t>
      </w:r>
      <w:r w:rsidR="005C66F3" w:rsidRPr="00983510">
        <w:rPr>
          <w:rFonts w:asciiTheme="minorHAnsi" w:hAnsiTheme="minorHAnsi" w:cstheme="minorHAnsi"/>
          <w:sz w:val="52"/>
        </w:rPr>
        <w:t xml:space="preserve"> Data Index Document</w:t>
      </w:r>
    </w:p>
    <w:p w14:paraId="6A7429D3" w14:textId="77777777" w:rsidR="005C66F3" w:rsidRPr="00983510" w:rsidRDefault="005C66F3" w:rsidP="005413D3">
      <w:pPr>
        <w:jc w:val="center"/>
        <w:rPr>
          <w:rFonts w:asciiTheme="minorHAnsi" w:hAnsiTheme="minorHAnsi" w:cstheme="minorHAnsi"/>
          <w:sz w:val="5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6"/>
        <w:gridCol w:w="4505"/>
      </w:tblGrid>
      <w:tr w:rsidR="005A089F" w:rsidRPr="00983510" w14:paraId="7E848F76" w14:textId="77777777" w:rsidTr="00CC6C9B">
        <w:trPr>
          <w:jc w:val="center"/>
        </w:trPr>
        <w:tc>
          <w:tcPr>
            <w:tcW w:w="6671" w:type="dxa"/>
            <w:gridSpan w:val="2"/>
            <w:vAlign w:val="center"/>
          </w:tcPr>
          <w:p w14:paraId="2873D379" w14:textId="77777777" w:rsidR="005A089F" w:rsidRPr="00983510" w:rsidRDefault="005A089F" w:rsidP="00CC6C9B">
            <w:pPr>
              <w:jc w:val="center"/>
              <w:rPr>
                <w:rFonts w:asciiTheme="minorHAnsi" w:hAnsiTheme="minorHAnsi" w:cstheme="minorHAnsi"/>
              </w:rPr>
            </w:pPr>
            <w:r w:rsidRPr="00983510">
              <w:rPr>
                <w:rFonts w:asciiTheme="minorHAnsi" w:hAnsiTheme="minorHAnsi" w:cstheme="minorHAnsi"/>
              </w:rPr>
              <w:t>Authors</w:t>
            </w:r>
          </w:p>
        </w:tc>
      </w:tr>
      <w:tr w:rsidR="005A089F" w:rsidRPr="00983510" w14:paraId="592EF545" w14:textId="77777777" w:rsidTr="00CC6C9B">
        <w:trPr>
          <w:jc w:val="center"/>
        </w:trPr>
        <w:tc>
          <w:tcPr>
            <w:tcW w:w="2166" w:type="dxa"/>
            <w:vAlign w:val="center"/>
          </w:tcPr>
          <w:p w14:paraId="3E809F26" w14:textId="77777777" w:rsidR="005A089F" w:rsidRPr="00983510" w:rsidRDefault="005A089F" w:rsidP="00CC6C9B">
            <w:pPr>
              <w:jc w:val="center"/>
              <w:rPr>
                <w:rFonts w:asciiTheme="minorHAnsi" w:hAnsiTheme="minorHAnsi" w:cstheme="minorHAnsi"/>
              </w:rPr>
            </w:pPr>
            <w:r w:rsidRPr="00983510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505" w:type="dxa"/>
            <w:vAlign w:val="center"/>
          </w:tcPr>
          <w:p w14:paraId="67664341" w14:textId="77777777" w:rsidR="005A089F" w:rsidRPr="00983510" w:rsidRDefault="005A089F" w:rsidP="00CC6C9B">
            <w:pPr>
              <w:jc w:val="center"/>
              <w:rPr>
                <w:rFonts w:asciiTheme="minorHAnsi" w:hAnsiTheme="minorHAnsi" w:cstheme="minorHAnsi"/>
              </w:rPr>
            </w:pPr>
            <w:r w:rsidRPr="00983510">
              <w:rPr>
                <w:rFonts w:asciiTheme="minorHAnsi" w:hAnsiTheme="minorHAnsi" w:cstheme="minorHAnsi"/>
              </w:rPr>
              <w:t>Affiliation</w:t>
            </w:r>
          </w:p>
        </w:tc>
      </w:tr>
      <w:tr w:rsidR="0065082C" w:rsidRPr="00983510" w14:paraId="641F0651" w14:textId="77777777" w:rsidTr="00CC6C9B">
        <w:trPr>
          <w:jc w:val="center"/>
        </w:trPr>
        <w:tc>
          <w:tcPr>
            <w:tcW w:w="2166" w:type="dxa"/>
            <w:vAlign w:val="center"/>
          </w:tcPr>
          <w:p w14:paraId="79843E0A" w14:textId="5AE03E61" w:rsidR="0065082C" w:rsidRPr="00983510" w:rsidRDefault="0065082C" w:rsidP="0065082C">
            <w:pPr>
              <w:jc w:val="center"/>
              <w:rPr>
                <w:rFonts w:asciiTheme="minorHAnsi" w:hAnsiTheme="minorHAnsi" w:cstheme="minorHAnsi"/>
              </w:rPr>
            </w:pPr>
            <w:r w:rsidRPr="00983510">
              <w:rPr>
                <w:rFonts w:asciiTheme="minorHAnsi" w:hAnsiTheme="minorHAnsi" w:cstheme="minorHAnsi"/>
              </w:rPr>
              <w:t>Michael Youdell</w:t>
            </w:r>
          </w:p>
        </w:tc>
        <w:tc>
          <w:tcPr>
            <w:tcW w:w="4505" w:type="dxa"/>
            <w:vAlign w:val="center"/>
          </w:tcPr>
          <w:p w14:paraId="614D0E00" w14:textId="67C5FA62" w:rsidR="0065082C" w:rsidRPr="00983510" w:rsidRDefault="0065082C" w:rsidP="0065082C">
            <w:pPr>
              <w:jc w:val="center"/>
              <w:rPr>
                <w:rFonts w:asciiTheme="minorHAnsi" w:hAnsiTheme="minorHAnsi" w:cstheme="minorHAnsi"/>
              </w:rPr>
            </w:pPr>
            <w:r w:rsidRPr="00983510">
              <w:rPr>
                <w:rFonts w:asciiTheme="minorHAnsi" w:hAnsiTheme="minorHAnsi" w:cstheme="minorHAnsi"/>
              </w:rPr>
              <w:t>Oxford University</w:t>
            </w:r>
          </w:p>
        </w:tc>
      </w:tr>
      <w:tr w:rsidR="0065082C" w:rsidRPr="00983510" w14:paraId="03B1B75C" w14:textId="77777777" w:rsidTr="00CC6C9B">
        <w:trPr>
          <w:jc w:val="center"/>
        </w:trPr>
        <w:tc>
          <w:tcPr>
            <w:tcW w:w="2166" w:type="dxa"/>
            <w:vAlign w:val="center"/>
          </w:tcPr>
          <w:p w14:paraId="6D5BD7F9" w14:textId="31237810" w:rsidR="0065082C" w:rsidRPr="00983510" w:rsidRDefault="0065082C" w:rsidP="0065082C">
            <w:pPr>
              <w:jc w:val="center"/>
              <w:rPr>
                <w:rFonts w:asciiTheme="minorHAnsi" w:hAnsiTheme="minorHAnsi" w:cstheme="minorHAnsi"/>
              </w:rPr>
            </w:pPr>
            <w:r w:rsidRPr="00983510">
              <w:rPr>
                <w:rFonts w:asciiTheme="minorHAnsi" w:hAnsiTheme="minorHAnsi" w:cstheme="minorHAnsi"/>
              </w:rPr>
              <w:t>Andrew Blake</w:t>
            </w:r>
          </w:p>
        </w:tc>
        <w:tc>
          <w:tcPr>
            <w:tcW w:w="4505" w:type="dxa"/>
            <w:vAlign w:val="center"/>
          </w:tcPr>
          <w:p w14:paraId="77794DFC" w14:textId="38C1DE52" w:rsidR="0065082C" w:rsidRPr="00983510" w:rsidRDefault="0065082C" w:rsidP="0065082C">
            <w:pPr>
              <w:jc w:val="center"/>
              <w:rPr>
                <w:rFonts w:asciiTheme="minorHAnsi" w:hAnsiTheme="minorHAnsi" w:cstheme="minorHAnsi"/>
              </w:rPr>
            </w:pPr>
            <w:r w:rsidRPr="00983510">
              <w:rPr>
                <w:rFonts w:asciiTheme="minorHAnsi" w:hAnsiTheme="minorHAnsi" w:cstheme="minorHAnsi"/>
              </w:rPr>
              <w:t>Oxford University</w:t>
            </w:r>
          </w:p>
        </w:tc>
      </w:tr>
      <w:tr w:rsidR="00326CA1" w:rsidRPr="00983510" w14:paraId="011FAABB" w14:textId="77777777" w:rsidTr="00CC6C9B">
        <w:trPr>
          <w:jc w:val="center"/>
        </w:trPr>
        <w:tc>
          <w:tcPr>
            <w:tcW w:w="2166" w:type="dxa"/>
            <w:vAlign w:val="center"/>
          </w:tcPr>
          <w:p w14:paraId="0EAA6D01" w14:textId="3D8CE6BD" w:rsidR="00326CA1" w:rsidRDefault="00326CA1" w:rsidP="003311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Simon Lord</w:t>
            </w:r>
          </w:p>
        </w:tc>
        <w:tc>
          <w:tcPr>
            <w:tcW w:w="4505" w:type="dxa"/>
            <w:vAlign w:val="center"/>
          </w:tcPr>
          <w:p w14:paraId="3B247816" w14:textId="4CE67739" w:rsidR="00326CA1" w:rsidRDefault="00326CA1" w:rsidP="003311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Oxford University</w:t>
            </w:r>
          </w:p>
        </w:tc>
      </w:tr>
      <w:tr w:rsidR="008A28F1" w:rsidRPr="00983510" w14:paraId="2D10BBBF" w14:textId="77777777" w:rsidTr="00CC6C9B">
        <w:trPr>
          <w:jc w:val="center"/>
        </w:trPr>
        <w:tc>
          <w:tcPr>
            <w:tcW w:w="2166" w:type="dxa"/>
            <w:vAlign w:val="center"/>
          </w:tcPr>
          <w:p w14:paraId="3B9438EE" w14:textId="11724488" w:rsidR="008A28F1" w:rsidRDefault="00E20649" w:rsidP="003311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Costas Savva</w:t>
            </w:r>
          </w:p>
        </w:tc>
        <w:tc>
          <w:tcPr>
            <w:tcW w:w="4505" w:type="dxa"/>
            <w:vAlign w:val="center"/>
          </w:tcPr>
          <w:p w14:paraId="4058E332" w14:textId="401422FA" w:rsidR="008A28F1" w:rsidRDefault="00E20649" w:rsidP="003311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University of Southampton</w:t>
            </w:r>
          </w:p>
        </w:tc>
      </w:tr>
      <w:tr w:rsidR="008553DC" w:rsidRPr="00983510" w14:paraId="772C8886" w14:textId="77777777" w:rsidTr="00CC6C9B">
        <w:trPr>
          <w:jc w:val="center"/>
        </w:trPr>
        <w:tc>
          <w:tcPr>
            <w:tcW w:w="2166" w:type="dxa"/>
            <w:vAlign w:val="center"/>
          </w:tcPr>
          <w:p w14:paraId="68ED8EC4" w14:textId="525D01D2" w:rsidR="008553DC" w:rsidRDefault="00E20649" w:rsidP="008553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Stephen Beers</w:t>
            </w:r>
          </w:p>
        </w:tc>
        <w:tc>
          <w:tcPr>
            <w:tcW w:w="4505" w:type="dxa"/>
            <w:vAlign w:val="center"/>
          </w:tcPr>
          <w:p w14:paraId="7C8AE2D2" w14:textId="3C02521F" w:rsidR="008553DC" w:rsidRDefault="00E20649" w:rsidP="008553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University of Southampton</w:t>
            </w:r>
          </w:p>
        </w:tc>
      </w:tr>
      <w:tr w:rsidR="008553DC" w:rsidRPr="00983510" w14:paraId="5E646DAF" w14:textId="77777777" w:rsidTr="00CC6C9B">
        <w:trPr>
          <w:jc w:val="center"/>
        </w:trPr>
        <w:tc>
          <w:tcPr>
            <w:tcW w:w="2166" w:type="dxa"/>
            <w:vAlign w:val="center"/>
          </w:tcPr>
          <w:p w14:paraId="570C6377" w14:textId="6AFA4C47" w:rsidR="008553DC" w:rsidRDefault="008553DC" w:rsidP="008553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Francesca Buffa</w:t>
            </w:r>
          </w:p>
        </w:tc>
        <w:tc>
          <w:tcPr>
            <w:tcW w:w="4505" w:type="dxa"/>
            <w:vAlign w:val="center"/>
          </w:tcPr>
          <w:p w14:paraId="1150A8B2" w14:textId="14462AD6" w:rsidR="008553DC" w:rsidRDefault="008553DC" w:rsidP="008553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Oxford University</w:t>
            </w:r>
          </w:p>
        </w:tc>
      </w:tr>
    </w:tbl>
    <w:p w14:paraId="5758765D" w14:textId="77777777" w:rsidR="005A089F" w:rsidRPr="00091350" w:rsidRDefault="005A089F">
      <w:pPr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8"/>
          <w:szCs w:val="28"/>
        </w:rPr>
      </w:pPr>
    </w:p>
    <w:p w14:paraId="77C1ADC4" w14:textId="71F19BEA" w:rsidR="001C586A" w:rsidRPr="00091350" w:rsidRDefault="001C586A">
      <w:pPr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8"/>
          <w:szCs w:val="28"/>
        </w:rPr>
      </w:pPr>
      <w:r w:rsidRPr="00091350"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8"/>
          <w:szCs w:val="28"/>
        </w:rPr>
        <w:t>S</w:t>
      </w:r>
      <w:r w:rsidR="00091350"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8"/>
          <w:szCs w:val="28"/>
        </w:rPr>
        <w:t>ummary</w:t>
      </w:r>
    </w:p>
    <w:p w14:paraId="0A9F7684" w14:textId="77777777" w:rsidR="005C66F3" w:rsidRPr="00983510" w:rsidRDefault="005C66F3">
      <w:pPr>
        <w:rPr>
          <w:rFonts w:asciiTheme="minorHAnsi" w:hAnsiTheme="minorHAnsi" w:cstheme="minorHAnsi"/>
        </w:rPr>
      </w:pPr>
    </w:p>
    <w:p w14:paraId="76ECABAA" w14:textId="44204C7C" w:rsidR="005A089F" w:rsidRPr="00983510" w:rsidRDefault="00226A63" w:rsidP="00E2064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document summarises</w:t>
      </w:r>
      <w:r w:rsidR="00A529A5" w:rsidRPr="00983510">
        <w:rPr>
          <w:rFonts w:asciiTheme="minorHAnsi" w:hAnsiTheme="minorHAnsi" w:cstheme="minorHAnsi"/>
        </w:rPr>
        <w:t xml:space="preserve"> the </w:t>
      </w:r>
      <w:r w:rsidR="009652BB">
        <w:rPr>
          <w:rFonts w:asciiTheme="minorHAnsi" w:hAnsiTheme="minorHAnsi" w:cstheme="minorHAnsi"/>
        </w:rPr>
        <w:t xml:space="preserve">data available for secondary analysis that was accumulated from the </w:t>
      </w:r>
      <w:r w:rsidR="00E20649">
        <w:rPr>
          <w:rFonts w:asciiTheme="minorHAnsi" w:hAnsiTheme="minorHAnsi" w:cstheme="minorHAnsi"/>
        </w:rPr>
        <w:t>METFORMIN</w:t>
      </w:r>
      <w:r w:rsidR="009652BB">
        <w:rPr>
          <w:rFonts w:asciiTheme="minorHAnsi" w:hAnsiTheme="minorHAnsi" w:cstheme="minorHAnsi"/>
        </w:rPr>
        <w:t xml:space="preserve"> trial</w:t>
      </w:r>
      <w:r w:rsidR="00E20649">
        <w:rPr>
          <w:rFonts w:asciiTheme="minorHAnsi" w:hAnsiTheme="minorHAnsi" w:cstheme="minorHAnsi"/>
        </w:rPr>
        <w:t xml:space="preserve"> (Effect of Metformin on Breas Cancer metabolism, </w:t>
      </w:r>
      <w:r w:rsidR="00E20649" w:rsidRPr="00E20649">
        <w:rPr>
          <w:rFonts w:asciiTheme="minorHAnsi" w:hAnsiTheme="minorHAnsi" w:cstheme="minorHAnsi"/>
        </w:rPr>
        <w:t>NCT01266486</w:t>
      </w:r>
      <w:r w:rsidR="00E20649">
        <w:rPr>
          <w:rFonts w:asciiTheme="minorHAnsi" w:hAnsiTheme="minorHAnsi" w:cstheme="minorHAnsi"/>
        </w:rPr>
        <w:t>)</w:t>
      </w:r>
      <w:r w:rsidR="009652BB">
        <w:rPr>
          <w:rFonts w:asciiTheme="minorHAnsi" w:hAnsiTheme="minorHAnsi" w:cstheme="minorHAnsi"/>
        </w:rPr>
        <w:t>.</w:t>
      </w:r>
      <w:r w:rsidR="009652BB" w:rsidRPr="00983510">
        <w:rPr>
          <w:rFonts w:asciiTheme="minorHAnsi" w:hAnsiTheme="minorHAnsi" w:cstheme="minorHAnsi"/>
        </w:rPr>
        <w:t xml:space="preserve"> </w:t>
      </w:r>
      <w:r w:rsidR="00E20649" w:rsidRPr="00E20649">
        <w:rPr>
          <w:rFonts w:asciiTheme="minorHAnsi" w:hAnsiTheme="minorHAnsi" w:cstheme="minorHAnsi"/>
        </w:rPr>
        <w:t>Thirty-six patients with untreated primary breast cancer were recruited to a window study and transcriptomic profiling of tumour samples carried out before and after metformin treatment.</w:t>
      </w: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  <w:id w:val="-1254826095"/>
        <w:docPartObj>
          <w:docPartGallery w:val="Table of Contents"/>
          <w:docPartUnique/>
        </w:docPartObj>
      </w:sdtPr>
      <w:sdtEndPr>
        <w:rPr>
          <w:rFonts w:eastAsia="Times New Roman"/>
          <w:noProof/>
        </w:rPr>
      </w:sdtEndPr>
      <w:sdtContent>
        <w:p w14:paraId="7082913D" w14:textId="77777777" w:rsidR="005A089F" w:rsidRPr="00983510" w:rsidRDefault="005A089F">
          <w:pPr>
            <w:pStyle w:val="TOCHeading"/>
            <w:rPr>
              <w:rFonts w:asciiTheme="minorHAnsi" w:hAnsiTheme="minorHAnsi" w:cstheme="minorHAnsi"/>
            </w:rPr>
          </w:pPr>
          <w:r w:rsidRPr="00983510">
            <w:rPr>
              <w:rFonts w:asciiTheme="minorHAnsi" w:hAnsiTheme="minorHAnsi" w:cstheme="minorHAnsi"/>
            </w:rPr>
            <w:t>Table of Contents</w:t>
          </w:r>
        </w:p>
        <w:p w14:paraId="3F15E80A" w14:textId="60F83B1A" w:rsidR="00841AE7" w:rsidRDefault="00272DEF">
          <w:pPr>
            <w:pStyle w:val="TOC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en-GB"/>
            </w:rPr>
          </w:pPr>
          <w:r w:rsidRPr="007D5AC4">
            <w:rPr>
              <w:noProof w:val="0"/>
              <w:u w:val="none"/>
            </w:rPr>
            <w:fldChar w:fldCharType="begin"/>
          </w:r>
          <w:r w:rsidR="005A089F" w:rsidRPr="007D5AC4">
            <w:rPr>
              <w:u w:val="none"/>
            </w:rPr>
            <w:instrText xml:space="preserve"> TOC \o "1-3" \h \z \u </w:instrText>
          </w:r>
          <w:r w:rsidRPr="007D5AC4">
            <w:rPr>
              <w:noProof w:val="0"/>
              <w:u w:val="none"/>
            </w:rPr>
            <w:fldChar w:fldCharType="separate"/>
          </w:r>
          <w:hyperlink w:anchor="_Toc161327334" w:history="1">
            <w:r w:rsidR="00841AE7" w:rsidRPr="000C7355">
              <w:rPr>
                <w:rStyle w:val="Hyperlink"/>
              </w:rPr>
              <w:t>1</w:t>
            </w:r>
            <w:r w:rsidR="00841AE7">
              <w:rPr>
                <w:rFonts w:eastAsiaTheme="minorEastAsia" w:cstheme="minorBidi"/>
                <w:b w:val="0"/>
                <w:bCs w:val="0"/>
                <w:caps w:val="0"/>
                <w:color w:val="auto"/>
                <w:u w:val="none"/>
                <w:lang w:eastAsia="en-GB"/>
              </w:rPr>
              <w:tab/>
            </w:r>
            <w:r w:rsidR="00841AE7" w:rsidRPr="000C7355">
              <w:rPr>
                <w:rStyle w:val="Hyperlink"/>
              </w:rPr>
              <w:t>Study Overview</w:t>
            </w:r>
            <w:r w:rsidR="00841AE7">
              <w:rPr>
                <w:webHidden/>
              </w:rPr>
              <w:tab/>
            </w:r>
            <w:r w:rsidR="00841AE7">
              <w:rPr>
                <w:webHidden/>
              </w:rPr>
              <w:fldChar w:fldCharType="begin"/>
            </w:r>
            <w:r w:rsidR="00841AE7">
              <w:rPr>
                <w:webHidden/>
              </w:rPr>
              <w:instrText xml:space="preserve"> PAGEREF _Toc161327334 \h </w:instrText>
            </w:r>
            <w:r w:rsidR="00841AE7">
              <w:rPr>
                <w:webHidden/>
              </w:rPr>
            </w:r>
            <w:r w:rsidR="00841AE7">
              <w:rPr>
                <w:webHidden/>
              </w:rPr>
              <w:fldChar w:fldCharType="separate"/>
            </w:r>
            <w:r w:rsidR="00841AE7">
              <w:rPr>
                <w:webHidden/>
              </w:rPr>
              <w:t>2</w:t>
            </w:r>
            <w:r w:rsidR="00841AE7">
              <w:rPr>
                <w:webHidden/>
              </w:rPr>
              <w:fldChar w:fldCharType="end"/>
            </w:r>
          </w:hyperlink>
        </w:p>
        <w:p w14:paraId="6CD4841F" w14:textId="70633B0E" w:rsidR="00841AE7" w:rsidRDefault="00495322">
          <w:pPr>
            <w:pStyle w:val="TOC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en-GB"/>
            </w:rPr>
          </w:pPr>
          <w:hyperlink w:anchor="_Toc161327338" w:history="1">
            <w:r w:rsidR="00841AE7" w:rsidRPr="000C7355">
              <w:rPr>
                <w:rStyle w:val="Hyperlink"/>
              </w:rPr>
              <w:t>2</w:t>
            </w:r>
            <w:r w:rsidR="00841AE7">
              <w:rPr>
                <w:rFonts w:eastAsiaTheme="minorEastAsia" w:cstheme="minorBidi"/>
                <w:b w:val="0"/>
                <w:bCs w:val="0"/>
                <w:caps w:val="0"/>
                <w:color w:val="auto"/>
                <w:u w:val="none"/>
                <w:lang w:eastAsia="en-GB"/>
              </w:rPr>
              <w:tab/>
            </w:r>
            <w:r w:rsidR="00841AE7" w:rsidRPr="000C7355">
              <w:rPr>
                <w:rStyle w:val="Hyperlink"/>
              </w:rPr>
              <w:t>Study Design</w:t>
            </w:r>
            <w:r w:rsidR="00841AE7">
              <w:rPr>
                <w:webHidden/>
              </w:rPr>
              <w:tab/>
            </w:r>
            <w:r w:rsidR="00841AE7">
              <w:rPr>
                <w:webHidden/>
              </w:rPr>
              <w:fldChar w:fldCharType="begin"/>
            </w:r>
            <w:r w:rsidR="00841AE7">
              <w:rPr>
                <w:webHidden/>
              </w:rPr>
              <w:instrText xml:space="preserve"> PAGEREF _Toc161327338 \h </w:instrText>
            </w:r>
            <w:r w:rsidR="00841AE7">
              <w:rPr>
                <w:webHidden/>
              </w:rPr>
            </w:r>
            <w:r w:rsidR="00841AE7">
              <w:rPr>
                <w:webHidden/>
              </w:rPr>
              <w:fldChar w:fldCharType="separate"/>
            </w:r>
            <w:r w:rsidR="00841AE7">
              <w:rPr>
                <w:webHidden/>
              </w:rPr>
              <w:t>2</w:t>
            </w:r>
            <w:r w:rsidR="00841AE7">
              <w:rPr>
                <w:webHidden/>
              </w:rPr>
              <w:fldChar w:fldCharType="end"/>
            </w:r>
          </w:hyperlink>
        </w:p>
        <w:p w14:paraId="2FDD9964" w14:textId="506ACDC8" w:rsidR="00841AE7" w:rsidRDefault="00495322">
          <w:pPr>
            <w:pStyle w:val="TOC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en-GB"/>
            </w:rPr>
          </w:pPr>
          <w:hyperlink w:anchor="_Toc161327339" w:history="1">
            <w:r w:rsidR="00841AE7" w:rsidRPr="000C7355">
              <w:rPr>
                <w:rStyle w:val="Hyperlink"/>
              </w:rPr>
              <w:t>3</w:t>
            </w:r>
            <w:r w:rsidR="00841AE7">
              <w:rPr>
                <w:rFonts w:eastAsiaTheme="minorEastAsia" w:cstheme="minorBidi"/>
                <w:b w:val="0"/>
                <w:bCs w:val="0"/>
                <w:caps w:val="0"/>
                <w:color w:val="auto"/>
                <w:u w:val="none"/>
                <w:lang w:eastAsia="en-GB"/>
              </w:rPr>
              <w:tab/>
            </w:r>
            <w:r w:rsidR="00841AE7" w:rsidRPr="000C7355">
              <w:rPr>
                <w:rStyle w:val="Hyperlink"/>
              </w:rPr>
              <w:t>Data</w:t>
            </w:r>
            <w:r w:rsidR="00841AE7">
              <w:rPr>
                <w:webHidden/>
              </w:rPr>
              <w:tab/>
            </w:r>
            <w:r w:rsidR="00841AE7">
              <w:rPr>
                <w:webHidden/>
              </w:rPr>
              <w:fldChar w:fldCharType="begin"/>
            </w:r>
            <w:r w:rsidR="00841AE7">
              <w:rPr>
                <w:webHidden/>
              </w:rPr>
              <w:instrText xml:space="preserve"> PAGEREF _Toc161327339 \h </w:instrText>
            </w:r>
            <w:r w:rsidR="00841AE7">
              <w:rPr>
                <w:webHidden/>
              </w:rPr>
            </w:r>
            <w:r w:rsidR="00841AE7">
              <w:rPr>
                <w:webHidden/>
              </w:rPr>
              <w:fldChar w:fldCharType="separate"/>
            </w:r>
            <w:r w:rsidR="00841AE7">
              <w:rPr>
                <w:webHidden/>
              </w:rPr>
              <w:t>3</w:t>
            </w:r>
            <w:r w:rsidR="00841AE7">
              <w:rPr>
                <w:webHidden/>
              </w:rPr>
              <w:fldChar w:fldCharType="end"/>
            </w:r>
          </w:hyperlink>
        </w:p>
        <w:p w14:paraId="63525C2E" w14:textId="532BFEA9" w:rsidR="00841AE7" w:rsidRDefault="00495322">
          <w:pPr>
            <w:pStyle w:val="TOC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en-GB"/>
            </w:rPr>
          </w:pPr>
          <w:hyperlink w:anchor="_Toc161327340" w:history="1">
            <w:r w:rsidR="00841AE7" w:rsidRPr="000C7355">
              <w:rPr>
                <w:rStyle w:val="Hyperlink"/>
              </w:rPr>
              <w:t>4</w:t>
            </w:r>
            <w:r w:rsidR="00841AE7">
              <w:rPr>
                <w:rFonts w:eastAsiaTheme="minorEastAsia" w:cstheme="minorBidi"/>
                <w:b w:val="0"/>
                <w:bCs w:val="0"/>
                <w:caps w:val="0"/>
                <w:color w:val="auto"/>
                <w:u w:val="none"/>
                <w:lang w:eastAsia="en-GB"/>
              </w:rPr>
              <w:tab/>
            </w:r>
            <w:r w:rsidR="00841AE7" w:rsidRPr="000C7355">
              <w:rPr>
                <w:rStyle w:val="Hyperlink"/>
              </w:rPr>
              <w:t>Participant Information</w:t>
            </w:r>
            <w:r w:rsidR="00841AE7">
              <w:rPr>
                <w:webHidden/>
              </w:rPr>
              <w:tab/>
            </w:r>
            <w:r w:rsidR="00841AE7">
              <w:rPr>
                <w:webHidden/>
              </w:rPr>
              <w:fldChar w:fldCharType="begin"/>
            </w:r>
            <w:r w:rsidR="00841AE7">
              <w:rPr>
                <w:webHidden/>
              </w:rPr>
              <w:instrText xml:space="preserve"> PAGEREF _Toc161327340 \h </w:instrText>
            </w:r>
            <w:r w:rsidR="00841AE7">
              <w:rPr>
                <w:webHidden/>
              </w:rPr>
            </w:r>
            <w:r w:rsidR="00841AE7">
              <w:rPr>
                <w:webHidden/>
              </w:rPr>
              <w:fldChar w:fldCharType="separate"/>
            </w:r>
            <w:r w:rsidR="00841AE7">
              <w:rPr>
                <w:webHidden/>
              </w:rPr>
              <w:t>4</w:t>
            </w:r>
            <w:r w:rsidR="00841AE7">
              <w:rPr>
                <w:webHidden/>
              </w:rPr>
              <w:fldChar w:fldCharType="end"/>
            </w:r>
          </w:hyperlink>
        </w:p>
        <w:p w14:paraId="69A73C28" w14:textId="742472BC" w:rsidR="00841AE7" w:rsidRDefault="00495322">
          <w:pPr>
            <w:pStyle w:val="TOC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en-GB"/>
            </w:rPr>
          </w:pPr>
          <w:hyperlink w:anchor="_Toc161327341" w:history="1">
            <w:r w:rsidR="00841AE7" w:rsidRPr="000C7355">
              <w:rPr>
                <w:rStyle w:val="Hyperlink"/>
              </w:rPr>
              <w:t>5</w:t>
            </w:r>
            <w:r w:rsidR="00841AE7">
              <w:rPr>
                <w:rFonts w:eastAsiaTheme="minorEastAsia" w:cstheme="minorBidi"/>
                <w:b w:val="0"/>
                <w:bCs w:val="0"/>
                <w:caps w:val="0"/>
                <w:color w:val="auto"/>
                <w:u w:val="none"/>
                <w:lang w:eastAsia="en-GB"/>
              </w:rPr>
              <w:tab/>
            </w:r>
            <w:r w:rsidR="00841AE7" w:rsidRPr="000C7355">
              <w:rPr>
                <w:rStyle w:val="Hyperlink"/>
              </w:rPr>
              <w:t>Data QC</w:t>
            </w:r>
            <w:r w:rsidR="00841AE7">
              <w:rPr>
                <w:webHidden/>
              </w:rPr>
              <w:tab/>
            </w:r>
            <w:r w:rsidR="00841AE7">
              <w:rPr>
                <w:webHidden/>
              </w:rPr>
              <w:fldChar w:fldCharType="begin"/>
            </w:r>
            <w:r w:rsidR="00841AE7">
              <w:rPr>
                <w:webHidden/>
              </w:rPr>
              <w:instrText xml:space="preserve"> PAGEREF _Toc161327341 \h </w:instrText>
            </w:r>
            <w:r w:rsidR="00841AE7">
              <w:rPr>
                <w:webHidden/>
              </w:rPr>
            </w:r>
            <w:r w:rsidR="00841AE7">
              <w:rPr>
                <w:webHidden/>
              </w:rPr>
              <w:fldChar w:fldCharType="separate"/>
            </w:r>
            <w:r w:rsidR="00841AE7">
              <w:rPr>
                <w:webHidden/>
              </w:rPr>
              <w:t>4</w:t>
            </w:r>
            <w:r w:rsidR="00841AE7">
              <w:rPr>
                <w:webHidden/>
              </w:rPr>
              <w:fldChar w:fldCharType="end"/>
            </w:r>
          </w:hyperlink>
        </w:p>
        <w:p w14:paraId="4FBBB681" w14:textId="56346A57" w:rsidR="00841AE7" w:rsidRDefault="00495322">
          <w:pPr>
            <w:pStyle w:val="TOC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en-GB"/>
            </w:rPr>
          </w:pPr>
          <w:hyperlink w:anchor="_Toc161327342" w:history="1">
            <w:r w:rsidR="00841AE7" w:rsidRPr="000C7355">
              <w:rPr>
                <w:rStyle w:val="Hyperlink"/>
              </w:rPr>
              <w:t>6</w:t>
            </w:r>
            <w:r w:rsidR="00841AE7">
              <w:rPr>
                <w:rFonts w:eastAsiaTheme="minorEastAsia" w:cstheme="minorBidi"/>
                <w:b w:val="0"/>
                <w:bCs w:val="0"/>
                <w:caps w:val="0"/>
                <w:color w:val="auto"/>
                <w:u w:val="none"/>
                <w:lang w:eastAsia="en-GB"/>
              </w:rPr>
              <w:tab/>
            </w:r>
            <w:r w:rsidR="00841AE7" w:rsidRPr="000C7355">
              <w:rPr>
                <w:rStyle w:val="Hyperlink"/>
              </w:rPr>
              <w:t>References</w:t>
            </w:r>
            <w:r w:rsidR="00841AE7">
              <w:rPr>
                <w:webHidden/>
              </w:rPr>
              <w:tab/>
            </w:r>
            <w:r w:rsidR="00841AE7">
              <w:rPr>
                <w:webHidden/>
              </w:rPr>
              <w:fldChar w:fldCharType="begin"/>
            </w:r>
            <w:r w:rsidR="00841AE7">
              <w:rPr>
                <w:webHidden/>
              </w:rPr>
              <w:instrText xml:space="preserve"> PAGEREF _Toc161327342 \h </w:instrText>
            </w:r>
            <w:r w:rsidR="00841AE7">
              <w:rPr>
                <w:webHidden/>
              </w:rPr>
            </w:r>
            <w:r w:rsidR="00841AE7">
              <w:rPr>
                <w:webHidden/>
              </w:rPr>
              <w:fldChar w:fldCharType="separate"/>
            </w:r>
            <w:r w:rsidR="00841AE7">
              <w:rPr>
                <w:webHidden/>
              </w:rPr>
              <w:t>4</w:t>
            </w:r>
            <w:r w:rsidR="00841AE7">
              <w:rPr>
                <w:webHidden/>
              </w:rPr>
              <w:fldChar w:fldCharType="end"/>
            </w:r>
          </w:hyperlink>
        </w:p>
        <w:p w14:paraId="65AED6F8" w14:textId="6F5542E2" w:rsidR="005A089F" w:rsidRPr="007D5AC4" w:rsidRDefault="00272DEF" w:rsidP="007D5AC4">
          <w:pPr>
            <w:rPr>
              <w:rFonts w:asciiTheme="minorHAnsi" w:hAnsiTheme="minorHAnsi" w:cstheme="minorHAnsi"/>
            </w:rPr>
          </w:pPr>
          <w:r w:rsidRPr="007D5AC4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32625C14" w14:textId="0B795132" w:rsidR="00A40202" w:rsidRDefault="00490E25" w:rsidP="00A75A4F">
      <w:pPr>
        <w:pStyle w:val="TOCHeading"/>
      </w:pPr>
      <w:r w:rsidRPr="00983510">
        <w:t>List of Tables</w:t>
      </w:r>
    </w:p>
    <w:p w14:paraId="63D9B9D8" w14:textId="77777777" w:rsidR="00841AE7" w:rsidRPr="00DD0DA9" w:rsidRDefault="00841AE7" w:rsidP="00841AE7">
      <w:pPr>
        <w:rPr>
          <w:rFonts w:asciiTheme="majorHAnsi" w:eastAsiaTheme="minorEastAsia" w:hAnsiTheme="majorHAnsi" w:cstheme="majorHAnsi"/>
          <w:sz w:val="22"/>
          <w:szCs w:val="22"/>
        </w:rPr>
      </w:pPr>
    </w:p>
    <w:p w14:paraId="742E2771" w14:textId="762ED29D" w:rsidR="008C5E55" w:rsidRPr="00DD0DA9" w:rsidRDefault="00DD0DA9" w:rsidP="008C5E55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color w:val="242424"/>
          <w:sz w:val="22"/>
          <w:szCs w:val="22"/>
          <w:lang w:eastAsia="en-GB"/>
        </w:rPr>
      </w:pPr>
      <w:r w:rsidRPr="00DD0DA9">
        <w:rPr>
          <w:rFonts w:asciiTheme="majorHAnsi" w:hAnsiTheme="majorHAnsi" w:cstheme="majorHAnsi"/>
          <w:b/>
          <w:bCs/>
          <w:color w:val="242424"/>
          <w:sz w:val="22"/>
          <w:szCs w:val="22"/>
          <w:lang w:eastAsia="en-GB"/>
        </w:rPr>
        <w:t>Table 1: Inclusion criteria</w:t>
      </w:r>
      <w:r w:rsidRPr="00C83FDB">
        <w:rPr>
          <w:rFonts w:asciiTheme="majorHAnsi" w:hAnsiTheme="majorHAnsi" w:cstheme="majorHAnsi"/>
          <w:b/>
          <w:bCs/>
          <w:color w:val="242424"/>
          <w:sz w:val="32"/>
          <w:szCs w:val="32"/>
          <w:lang w:eastAsia="en-GB"/>
        </w:rPr>
        <w:t>…………………………………………………………………………</w:t>
      </w:r>
      <w:proofErr w:type="gramStart"/>
      <w:r w:rsidRPr="00C83FDB">
        <w:rPr>
          <w:rFonts w:asciiTheme="majorHAnsi" w:hAnsiTheme="majorHAnsi" w:cstheme="majorHAnsi"/>
          <w:b/>
          <w:bCs/>
          <w:color w:val="242424"/>
          <w:sz w:val="32"/>
          <w:szCs w:val="32"/>
          <w:lang w:eastAsia="en-GB"/>
        </w:rPr>
        <w:t>…</w:t>
      </w:r>
      <w:r w:rsidR="00C83FDB">
        <w:rPr>
          <w:rFonts w:asciiTheme="majorHAnsi" w:hAnsiTheme="majorHAnsi" w:cstheme="majorHAnsi"/>
          <w:b/>
          <w:bCs/>
          <w:color w:val="242424"/>
          <w:sz w:val="32"/>
          <w:szCs w:val="32"/>
          <w:lang w:eastAsia="en-GB"/>
        </w:rPr>
        <w:t>..</w:t>
      </w:r>
      <w:proofErr w:type="gramEnd"/>
      <w:r w:rsidRPr="00C83FDB">
        <w:rPr>
          <w:rFonts w:asciiTheme="majorHAnsi" w:hAnsiTheme="majorHAnsi" w:cstheme="majorHAnsi"/>
          <w:b/>
          <w:bCs/>
          <w:color w:val="242424"/>
          <w:sz w:val="32"/>
          <w:szCs w:val="32"/>
          <w:lang w:eastAsia="en-GB"/>
        </w:rPr>
        <w:t>…</w:t>
      </w:r>
      <w:r w:rsidR="00C83FDB" w:rsidRPr="00C83FDB">
        <w:rPr>
          <w:rFonts w:asciiTheme="majorHAnsi" w:hAnsiTheme="majorHAnsi" w:cstheme="majorHAnsi"/>
          <w:b/>
          <w:bCs/>
          <w:color w:val="242424"/>
          <w:sz w:val="22"/>
          <w:szCs w:val="22"/>
          <w:lang w:eastAsia="en-GB"/>
        </w:rPr>
        <w:t>2</w:t>
      </w:r>
    </w:p>
    <w:p w14:paraId="02A6F3E7" w14:textId="137B8C79" w:rsidR="00C83FDB" w:rsidRPr="00DD0DA9" w:rsidRDefault="00DD0DA9" w:rsidP="008C5E55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color w:val="242424"/>
          <w:sz w:val="22"/>
          <w:szCs w:val="22"/>
          <w:lang w:eastAsia="en-GB"/>
        </w:rPr>
      </w:pPr>
      <w:r w:rsidRPr="00DD0DA9">
        <w:rPr>
          <w:rFonts w:asciiTheme="majorHAnsi" w:hAnsiTheme="majorHAnsi" w:cstheme="majorHAnsi"/>
          <w:b/>
          <w:bCs/>
          <w:color w:val="242424"/>
          <w:sz w:val="22"/>
          <w:szCs w:val="22"/>
          <w:lang w:eastAsia="en-GB"/>
        </w:rPr>
        <w:t>Table 2: Samples available</w:t>
      </w:r>
      <w:r w:rsidR="00C83FDB">
        <w:rPr>
          <w:rFonts w:asciiTheme="majorHAnsi" w:hAnsiTheme="majorHAnsi" w:cstheme="majorHAnsi"/>
          <w:b/>
          <w:bCs/>
          <w:color w:val="242424"/>
          <w:sz w:val="22"/>
          <w:szCs w:val="22"/>
          <w:lang w:eastAsia="en-GB"/>
        </w:rPr>
        <w:t xml:space="preserve"> </w:t>
      </w:r>
      <w:r w:rsidR="00C83FDB" w:rsidRPr="00C83FDB">
        <w:rPr>
          <w:rFonts w:asciiTheme="majorHAnsi" w:hAnsiTheme="majorHAnsi" w:cstheme="majorHAnsi"/>
          <w:b/>
          <w:bCs/>
          <w:color w:val="242424"/>
          <w:sz w:val="32"/>
          <w:szCs w:val="32"/>
          <w:lang w:eastAsia="en-GB"/>
        </w:rPr>
        <w:t>………………………………………</w:t>
      </w:r>
      <w:r w:rsidR="00C83FDB">
        <w:rPr>
          <w:rFonts w:asciiTheme="majorHAnsi" w:hAnsiTheme="majorHAnsi" w:cstheme="majorHAnsi"/>
          <w:b/>
          <w:bCs/>
          <w:color w:val="242424"/>
          <w:sz w:val="32"/>
          <w:szCs w:val="32"/>
          <w:lang w:eastAsia="en-GB"/>
        </w:rPr>
        <w:t>…</w:t>
      </w:r>
      <w:r w:rsidR="00C83FDB" w:rsidRPr="00C83FDB">
        <w:rPr>
          <w:rFonts w:asciiTheme="majorHAnsi" w:hAnsiTheme="majorHAnsi" w:cstheme="majorHAnsi"/>
          <w:b/>
          <w:bCs/>
          <w:color w:val="242424"/>
          <w:sz w:val="32"/>
          <w:szCs w:val="32"/>
          <w:lang w:eastAsia="en-GB"/>
        </w:rPr>
        <w:t>……………………………………</w:t>
      </w:r>
      <w:r w:rsidR="00C83FDB">
        <w:rPr>
          <w:rFonts w:asciiTheme="majorHAnsi" w:hAnsiTheme="majorHAnsi" w:cstheme="majorHAnsi"/>
          <w:b/>
          <w:bCs/>
          <w:color w:val="242424"/>
          <w:sz w:val="22"/>
          <w:szCs w:val="22"/>
          <w:lang w:eastAsia="en-GB"/>
        </w:rPr>
        <w:t>3</w:t>
      </w:r>
    </w:p>
    <w:p w14:paraId="13E0FE59" w14:textId="6417CB27" w:rsidR="00DD0DA9" w:rsidRPr="00DD0DA9" w:rsidRDefault="00DD0DA9" w:rsidP="008C5E55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color w:val="242424"/>
          <w:sz w:val="22"/>
          <w:szCs w:val="22"/>
          <w:lang w:eastAsia="en-GB"/>
        </w:rPr>
      </w:pPr>
      <w:r w:rsidRPr="00DD0DA9">
        <w:rPr>
          <w:rFonts w:asciiTheme="majorHAnsi" w:hAnsiTheme="majorHAnsi" w:cstheme="majorHAnsi"/>
          <w:b/>
          <w:bCs/>
          <w:color w:val="242424"/>
          <w:sz w:val="22"/>
          <w:szCs w:val="22"/>
          <w:lang w:eastAsia="en-GB"/>
        </w:rPr>
        <w:t>Table 3: Tumours, patients and samples characteristics recorded</w:t>
      </w:r>
      <w:r w:rsidR="00C83FDB" w:rsidRPr="00C83FDB">
        <w:rPr>
          <w:rFonts w:asciiTheme="majorHAnsi" w:hAnsiTheme="majorHAnsi" w:cstheme="majorHAnsi"/>
          <w:b/>
          <w:bCs/>
          <w:color w:val="242424"/>
          <w:sz w:val="32"/>
          <w:szCs w:val="32"/>
          <w:lang w:eastAsia="en-GB"/>
        </w:rPr>
        <w:t>…………</w:t>
      </w:r>
      <w:proofErr w:type="gramStart"/>
      <w:r w:rsidR="00C83FDB" w:rsidRPr="00C83FDB">
        <w:rPr>
          <w:rFonts w:asciiTheme="majorHAnsi" w:hAnsiTheme="majorHAnsi" w:cstheme="majorHAnsi"/>
          <w:b/>
          <w:bCs/>
          <w:color w:val="242424"/>
          <w:sz w:val="32"/>
          <w:szCs w:val="32"/>
          <w:lang w:eastAsia="en-GB"/>
        </w:rPr>
        <w:t>…</w:t>
      </w:r>
      <w:r w:rsidR="00C83FDB">
        <w:rPr>
          <w:rFonts w:asciiTheme="majorHAnsi" w:hAnsiTheme="majorHAnsi" w:cstheme="majorHAnsi"/>
          <w:b/>
          <w:bCs/>
          <w:color w:val="242424"/>
          <w:sz w:val="32"/>
          <w:szCs w:val="32"/>
          <w:lang w:eastAsia="en-GB"/>
        </w:rPr>
        <w:t>..</w:t>
      </w:r>
      <w:proofErr w:type="gramEnd"/>
      <w:r w:rsidR="00C83FDB" w:rsidRPr="00C83FDB">
        <w:rPr>
          <w:rFonts w:asciiTheme="majorHAnsi" w:hAnsiTheme="majorHAnsi" w:cstheme="majorHAnsi"/>
          <w:b/>
          <w:bCs/>
          <w:color w:val="242424"/>
          <w:sz w:val="32"/>
          <w:szCs w:val="32"/>
          <w:lang w:eastAsia="en-GB"/>
        </w:rPr>
        <w:t>………………………</w:t>
      </w:r>
      <w:r w:rsidR="00C83FDB" w:rsidRPr="00C83FDB">
        <w:rPr>
          <w:rFonts w:asciiTheme="majorHAnsi" w:hAnsiTheme="majorHAnsi" w:cstheme="majorHAnsi"/>
          <w:b/>
          <w:bCs/>
          <w:color w:val="242424"/>
          <w:sz w:val="22"/>
          <w:szCs w:val="22"/>
          <w:lang w:eastAsia="en-GB"/>
        </w:rPr>
        <w:t>3</w:t>
      </w:r>
    </w:p>
    <w:p w14:paraId="02733958" w14:textId="6189D2B2" w:rsidR="005A089F" w:rsidRPr="00E20649" w:rsidRDefault="009652BB" w:rsidP="00E20649">
      <w:pPr>
        <w:pStyle w:val="Heading1"/>
      </w:pPr>
      <w:bookmarkStart w:id="1" w:name="_Toc161327334"/>
      <w:r w:rsidRPr="00E20649">
        <w:lastRenderedPageBreak/>
        <w:t>Study Overview</w:t>
      </w:r>
      <w:bookmarkEnd w:id="1"/>
    </w:p>
    <w:p w14:paraId="24F3845C" w14:textId="076DBB3A" w:rsidR="00E95CDA" w:rsidRDefault="00E20649" w:rsidP="00182F00">
      <w:pPr>
        <w:pStyle w:val="Heading1"/>
        <w:numPr>
          <w:ilvl w:val="0"/>
          <w:numId w:val="0"/>
        </w:numPr>
        <w:jc w:val="both"/>
        <w:rPr>
          <w:rFonts w:eastAsia="Times New Roman" w:cstheme="majorHAnsi"/>
          <w:color w:val="auto"/>
          <w:sz w:val="21"/>
          <w:szCs w:val="21"/>
          <w:shd w:val="clear" w:color="auto" w:fill="FFFFFF"/>
        </w:rPr>
      </w:pPr>
      <w:bookmarkStart w:id="2" w:name="_y3tdwaei6gx9" w:colFirst="0" w:colLast="0"/>
      <w:bookmarkStart w:id="3" w:name="_Toc161327335"/>
      <w:bookmarkEnd w:id="2"/>
      <w:r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Epidemiological and retrospective clinical studies suggest a reduction in </w:t>
      </w:r>
      <w:r w:rsidR="004036EB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the </w:t>
      </w:r>
      <w:r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relative risk of cancer associated with the diabetes drug, metformin</w:t>
      </w:r>
      <w:r w:rsidR="004036EB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.</w:t>
      </w:r>
      <w:r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 </w:t>
      </w:r>
      <w:r w:rsidR="004036EB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M</w:t>
      </w:r>
      <w:r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ultiple phase 3 clinical trials are now underway to assess the potential of repurposing metformin as an anti-cancer therapy. However, metformin’s anti-cancer mechanism of action remains unclear. The canonical view is that metformin activates 5′ AMP-activated protein kinase (AMPK) in cancer cells leading to metabolic reprogramming and inducing a limit on utilisation of nutrient resources, subsequently halting proliferation. </w:t>
      </w:r>
      <w:r w:rsidR="00182F00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The suggestion is</w:t>
      </w:r>
      <w:r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 that metformin modulates mitochondrial metabolism at clinical doses.</w:t>
      </w:r>
      <w:bookmarkEnd w:id="3"/>
      <w:r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 </w:t>
      </w:r>
    </w:p>
    <w:p w14:paraId="7A899963" w14:textId="2D298415" w:rsidR="00E95CDA" w:rsidRDefault="00E20649" w:rsidP="00182F00">
      <w:pPr>
        <w:pStyle w:val="Heading1"/>
        <w:numPr>
          <w:ilvl w:val="0"/>
          <w:numId w:val="0"/>
        </w:numPr>
        <w:jc w:val="both"/>
        <w:rPr>
          <w:rFonts w:ascii="Georgia" w:hAnsi="Georgia"/>
          <w:color w:val="1F1F1F"/>
        </w:rPr>
      </w:pPr>
      <w:bookmarkStart w:id="4" w:name="_Toc161327336"/>
      <w:r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In </w:t>
      </w:r>
      <w:r w:rsidR="00182F00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this</w:t>
      </w:r>
      <w:r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 clinical pharmacodynamic study of 36 breast cancer patients</w:t>
      </w:r>
      <w:r w:rsidR="00182F00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,</w:t>
      </w:r>
      <w:r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 we </w:t>
      </w:r>
      <w:r w:rsidR="00182F00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show</w:t>
      </w:r>
      <w:r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 that metformin treatment </w:t>
      </w:r>
      <w:r w:rsidR="00E95CDA" w:rsidRPr="00E95CDA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reduces the levels of mitochondrial metabolites, activates multiple mitochondrial metabolic pathways, and increases 18-FDG flux in </w:t>
      </w:r>
      <w:r w:rsidR="00E95CDA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tumours</w:t>
      </w:r>
      <w:r w:rsidR="00E95CDA" w:rsidRPr="00E95CDA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. Two tumour groups are identified with distinct metabolic responses, an </w:t>
      </w:r>
      <w:hyperlink r:id="rId8" w:tooltip="Learn more about OXPHOS from ScienceDirect's AI-generated Topic Pages" w:history="1">
        <w:r w:rsidR="00E95CDA" w:rsidRPr="00E95CDA">
          <w:rPr>
            <w:rFonts w:eastAsia="Times New Roman" w:cstheme="majorHAnsi"/>
            <w:color w:val="auto"/>
            <w:sz w:val="21"/>
            <w:szCs w:val="21"/>
            <w:shd w:val="clear" w:color="auto" w:fill="FFFFFF"/>
          </w:rPr>
          <w:t>OXPHOS</w:t>
        </w:r>
      </w:hyperlink>
      <w:r w:rsidR="00E95CDA" w:rsidRPr="00E95CDA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 transcriptional response group for which there is an increase in </w:t>
      </w:r>
      <w:hyperlink r:id="rId9" w:tooltip="Learn more about OXPHOS from ScienceDirect's AI-generated Topic Pages" w:history="1">
        <w:r w:rsidR="00E95CDA" w:rsidRPr="00E95CDA">
          <w:rPr>
            <w:rFonts w:eastAsia="Times New Roman" w:cstheme="majorHAnsi"/>
            <w:color w:val="auto"/>
            <w:sz w:val="21"/>
            <w:szCs w:val="21"/>
            <w:shd w:val="clear" w:color="auto" w:fill="FFFFFF"/>
          </w:rPr>
          <w:t>OXPHOS</w:t>
        </w:r>
      </w:hyperlink>
      <w:r w:rsidR="00E95CDA" w:rsidRPr="00E95CDA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 </w:t>
      </w:r>
      <w:hyperlink r:id="rId10" w:tooltip="Learn more about gene transcription from ScienceDirect's AI-generated Topic Pages" w:history="1">
        <w:r w:rsidR="00E95CDA" w:rsidRPr="00E95CDA">
          <w:rPr>
            <w:rFonts w:eastAsia="Times New Roman" w:cstheme="majorHAnsi"/>
            <w:color w:val="auto"/>
            <w:sz w:val="21"/>
            <w:szCs w:val="21"/>
            <w:shd w:val="clear" w:color="auto" w:fill="FFFFFF"/>
          </w:rPr>
          <w:t>gene transcription</w:t>
        </w:r>
      </w:hyperlink>
      <w:r w:rsidR="00E95CDA" w:rsidRPr="00E95CDA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 and an FDG response group with increased 18-FDG uptake.</w:t>
      </w:r>
      <w:bookmarkEnd w:id="4"/>
    </w:p>
    <w:p w14:paraId="479440F0" w14:textId="3CE2CF71" w:rsidR="00E20649" w:rsidRPr="00E20649" w:rsidRDefault="00E95CDA" w:rsidP="00182F00">
      <w:pPr>
        <w:pStyle w:val="Heading1"/>
        <w:numPr>
          <w:ilvl w:val="0"/>
          <w:numId w:val="0"/>
        </w:numPr>
        <w:jc w:val="both"/>
        <w:rPr>
          <w:rFonts w:eastAsia="Times New Roman" w:cstheme="majorHAnsi"/>
          <w:color w:val="auto"/>
          <w:sz w:val="21"/>
          <w:szCs w:val="21"/>
          <w:shd w:val="clear" w:color="auto" w:fill="FFFFFF"/>
        </w:rPr>
      </w:pPr>
      <w:bookmarkStart w:id="5" w:name="_Toc161327337"/>
      <w:r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Furthermore, </w:t>
      </w:r>
      <w:r w:rsidR="00E20649"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multiple genes regulating fatty acid oxidation are upregulated at the transcriptomic level following metformin treatment. Additionally,</w:t>
      </w:r>
      <w:r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 </w:t>
      </w:r>
      <w:r w:rsidR="00296EA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an </w:t>
      </w:r>
      <w:r w:rsidR="00E20649"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increase in expression of a composite mitochondrial FAO gene expression profile correlated with</w:t>
      </w:r>
      <w:r w:rsidR="00296EA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 </w:t>
      </w:r>
      <w:r w:rsidR="00E20649"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change</w:t>
      </w:r>
      <w:r w:rsidR="00296EA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s</w:t>
      </w:r>
      <w:r w:rsidR="00E20649"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 in a proliferation gene signature</w:t>
      </w:r>
      <w:r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.</w:t>
      </w:r>
      <w:r w:rsidR="00E20649"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T</w:t>
      </w:r>
      <w:r w:rsidR="00E20649"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his</w:t>
      </w:r>
      <w:r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 proliferation</w:t>
      </w:r>
      <w:r w:rsidR="00E20649"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 signature discriminate</w:t>
      </w:r>
      <w:r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s</w:t>
      </w:r>
      <w:r w:rsidR="00E20649"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 between patient groups with different</w:t>
      </w:r>
      <w:r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 </w:t>
      </w:r>
      <w:r w:rsidR="00E20649"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>metabolic responses.</w:t>
      </w:r>
      <w:bookmarkEnd w:id="5"/>
      <w:r w:rsidR="00E20649" w:rsidRPr="00E20649">
        <w:rPr>
          <w:rFonts w:eastAsia="Times New Roman" w:cstheme="majorHAnsi"/>
          <w:color w:val="auto"/>
          <w:sz w:val="21"/>
          <w:szCs w:val="21"/>
          <w:shd w:val="clear" w:color="auto" w:fill="FFFFFF"/>
        </w:rPr>
        <w:t xml:space="preserve"> </w:t>
      </w:r>
    </w:p>
    <w:p w14:paraId="49163C8D" w14:textId="3D791BF4" w:rsidR="009652BB" w:rsidRPr="00E20649" w:rsidRDefault="009652BB" w:rsidP="00E20649">
      <w:pPr>
        <w:pStyle w:val="Heading1"/>
      </w:pPr>
      <w:bookmarkStart w:id="6" w:name="_Toc153201596"/>
      <w:bookmarkStart w:id="7" w:name="_Toc161327338"/>
      <w:r w:rsidRPr="00E20649">
        <w:t>Study Design</w:t>
      </w:r>
      <w:bookmarkEnd w:id="6"/>
      <w:bookmarkEnd w:id="7"/>
    </w:p>
    <w:p w14:paraId="60BC0406" w14:textId="77777777" w:rsidR="00A75A4F" w:rsidRPr="00A75A4F" w:rsidRDefault="00A75A4F" w:rsidP="00A75A4F"/>
    <w:p w14:paraId="12CAAED3" w14:textId="12A5A42F" w:rsidR="007C0C43" w:rsidRPr="007C0C43" w:rsidRDefault="007C0C43" w:rsidP="007C0C43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</w:pPr>
      <w:r w:rsidRPr="007C0C43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Patients were recruited from the </w:t>
      </w:r>
      <w:hyperlink r:id="rId11" w:tooltip="Learn more about medical oncology from ScienceDirect's AI-generated Topic Pages" w:history="1">
        <w:r w:rsidRPr="007C0C43">
          <w:rPr>
            <w:rFonts w:asciiTheme="majorHAnsi" w:eastAsia="Times New Roman" w:hAnsiTheme="majorHAnsi" w:cstheme="majorHAnsi"/>
            <w:sz w:val="21"/>
            <w:szCs w:val="21"/>
            <w:shd w:val="clear" w:color="auto" w:fill="FFFFFF"/>
            <w:lang w:eastAsia="en-US"/>
          </w:rPr>
          <w:t>medical oncology</w:t>
        </w:r>
      </w:hyperlink>
      <w:r w:rsidRPr="007C0C43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 breast cancer clinic over a period of 30 months between May 2011 and November 2013 in three UK centres, Oxford, Luton and Dundee. All patients at the point of recruitment had been referred with a view to </w:t>
      </w:r>
      <w:hyperlink r:id="rId12" w:tooltip="Learn more about neoadjuvant chemotherapy from ScienceDirect's AI-generated Topic Pages" w:history="1">
        <w:r w:rsidRPr="007C0C43">
          <w:rPr>
            <w:rFonts w:asciiTheme="majorHAnsi" w:eastAsia="Times New Roman" w:hAnsiTheme="majorHAnsi" w:cstheme="majorHAnsi"/>
            <w:sz w:val="21"/>
            <w:szCs w:val="21"/>
            <w:shd w:val="clear" w:color="auto" w:fill="FFFFFF"/>
            <w:lang w:eastAsia="en-US"/>
          </w:rPr>
          <w:t>neoadjuvant chemotherapy</w:t>
        </w:r>
      </w:hyperlink>
      <w:r w:rsidRPr="007C0C43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 and had histologically confirmed breast cancer. In all cases the primary breast cancer was </w:t>
      </w:r>
      <w:r w:rsidRPr="007C0C43">
        <w:rPr>
          <w:rFonts w:asciiTheme="majorHAnsi" w:eastAsia="Times New Roman" w:hAnsiTheme="majorHAnsi" w:cstheme="majorHAnsi"/>
          <w:i/>
          <w:iCs/>
          <w:sz w:val="21"/>
          <w:szCs w:val="21"/>
          <w:shd w:val="clear" w:color="auto" w:fill="FFFFFF"/>
          <w:lang w:eastAsia="en-US"/>
        </w:rPr>
        <w:t>in situ</w:t>
      </w:r>
      <w:r w:rsidRPr="007C0C43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 and no patients had received any prior treatment for breast cancer. </w:t>
      </w:r>
      <w:bookmarkStart w:id="8" w:name="bmmc1"/>
      <w:r w:rsidRPr="007C0C43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In total 41 patients were recruited and had evaluable data</w:t>
      </w:r>
      <w:bookmarkEnd w:id="8"/>
      <w:r w:rsidRPr="007C0C43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. </w:t>
      </w:r>
    </w:p>
    <w:p w14:paraId="04A18DD4" w14:textId="3A5E0FB8" w:rsidR="007C0C43" w:rsidRPr="007C0C43" w:rsidRDefault="007C0C43" w:rsidP="007C0C43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</w:pPr>
      <w:r w:rsidRPr="007C0C43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Metformin was given in the Glucophage XR formulation in an escalating dose once daily for a minimum of 13 days and a maximum of 21 days (500mg for days 1</w:t>
      </w:r>
      <w:r w:rsidRPr="007C0C43">
        <w:rPr>
          <w:rFonts w:asciiTheme="majorHAnsi" w:eastAsia="Times New Roman" w:hAnsiTheme="majorHAnsi" w:cstheme="majorHAnsi"/>
          <w:b/>
          <w:bCs/>
          <w:sz w:val="21"/>
          <w:szCs w:val="21"/>
          <w:shd w:val="clear" w:color="auto" w:fill="FFFFFF"/>
          <w:lang w:eastAsia="en-US"/>
        </w:rPr>
        <w:t>–</w:t>
      </w:r>
      <w:r w:rsidRPr="007C0C43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3, 1000mg for days 4</w:t>
      </w:r>
      <w:r w:rsidRPr="007C0C43">
        <w:rPr>
          <w:rFonts w:asciiTheme="majorHAnsi" w:eastAsia="Times New Roman" w:hAnsiTheme="majorHAnsi" w:cstheme="majorHAnsi"/>
          <w:b/>
          <w:bCs/>
          <w:sz w:val="21"/>
          <w:szCs w:val="21"/>
          <w:shd w:val="clear" w:color="auto" w:fill="FFFFFF"/>
          <w:lang w:eastAsia="en-US"/>
        </w:rPr>
        <w:t>–</w:t>
      </w:r>
      <w:r w:rsidRPr="007C0C43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6 and 1500mg thereafter). The day </w:t>
      </w:r>
      <w:r w:rsidR="00296EA9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before</w:t>
      </w:r>
      <w:r w:rsidRPr="007C0C43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 commencing metformin a core biopsy was taken under ultrasound guidance from the periphery of the primary tumour. Within 1 minute of this procedure</w:t>
      </w:r>
      <w:r w:rsidR="00296EA9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,</w:t>
      </w:r>
      <w:r w:rsidRPr="007C0C43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 the biopsy material was </w:t>
      </w:r>
      <w:r w:rsidR="00296EA9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snap-frozen</w:t>
      </w:r>
      <w:r w:rsidRPr="007C0C43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 in </w:t>
      </w:r>
      <w:hyperlink r:id="rId13" w:tooltip="Learn more about liquid nitrogen from ScienceDirect's AI-generated Topic Pages" w:history="1">
        <w:r w:rsidRPr="007C0C43">
          <w:rPr>
            <w:rFonts w:asciiTheme="majorHAnsi" w:eastAsia="Times New Roman" w:hAnsiTheme="majorHAnsi" w:cstheme="majorHAnsi"/>
            <w:sz w:val="21"/>
            <w:szCs w:val="21"/>
            <w:shd w:val="clear" w:color="auto" w:fill="FFFFFF"/>
            <w:lang w:eastAsia="en-US"/>
          </w:rPr>
          <w:t>liquid nitrogen</w:t>
        </w:r>
      </w:hyperlink>
      <w:r w:rsidRPr="007C0C43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 </w:t>
      </w:r>
      <w:r w:rsidR="00296EA9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before</w:t>
      </w:r>
      <w:r w:rsidRPr="007C0C43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 storage at -80°C. Prior to metabolomics analysis </w:t>
      </w:r>
      <w:hyperlink r:id="rId14" w:tooltip="Learn more about biopsy samples from ScienceDirect's AI-generated Topic Pages" w:history="1">
        <w:r w:rsidRPr="007C0C43">
          <w:rPr>
            <w:rFonts w:asciiTheme="majorHAnsi" w:eastAsia="Times New Roman" w:hAnsiTheme="majorHAnsi" w:cstheme="majorHAnsi"/>
            <w:sz w:val="21"/>
            <w:szCs w:val="21"/>
            <w:shd w:val="clear" w:color="auto" w:fill="FFFFFF"/>
            <w:lang w:eastAsia="en-US"/>
          </w:rPr>
          <w:t>biopsy samples</w:t>
        </w:r>
      </w:hyperlink>
      <w:r w:rsidRPr="007C0C43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 were divided and one portion </w:t>
      </w:r>
      <w:r w:rsidR="00296EA9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was </w:t>
      </w:r>
      <w:r w:rsidRPr="007C0C43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used for broad metabolomics analysis and the other to generate a </w:t>
      </w:r>
      <w:hyperlink r:id="rId15" w:tooltip="Learn more about lipid profile from ScienceDirect's AI-generated Topic Pages" w:history="1">
        <w:r w:rsidRPr="007C0C43">
          <w:rPr>
            <w:rFonts w:asciiTheme="majorHAnsi" w:eastAsia="Times New Roman" w:hAnsiTheme="majorHAnsi" w:cstheme="majorHAnsi"/>
            <w:sz w:val="21"/>
            <w:szCs w:val="21"/>
            <w:shd w:val="clear" w:color="auto" w:fill="FFFFFF"/>
            <w:lang w:eastAsia="en-US"/>
          </w:rPr>
          <w:t>lipid profile</w:t>
        </w:r>
      </w:hyperlink>
    </w:p>
    <w:p w14:paraId="2BCCB78A" w14:textId="75F5298F" w:rsidR="007C0C43" w:rsidRDefault="007C0C43" w:rsidP="007C0C43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</w:pPr>
    </w:p>
    <w:p w14:paraId="59484B22" w14:textId="2277B77A" w:rsidR="007C0C43" w:rsidRDefault="007C0C43" w:rsidP="007C0C43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color w:val="2E74B5" w:themeColor="accent1" w:themeShade="BF"/>
          <w:shd w:val="clear" w:color="auto" w:fill="FFFFFF"/>
          <w:lang w:eastAsia="en-US"/>
        </w:rPr>
      </w:pPr>
      <w:r w:rsidRPr="0046041D">
        <w:rPr>
          <w:rFonts w:asciiTheme="majorHAnsi" w:eastAsia="Times New Roman" w:hAnsiTheme="majorHAnsi" w:cstheme="majorHAnsi"/>
          <w:color w:val="2E74B5" w:themeColor="accent1" w:themeShade="BF"/>
          <w:shd w:val="clear" w:color="auto" w:fill="FFFFFF"/>
          <w:lang w:eastAsia="en-US"/>
        </w:rPr>
        <w:t>2.1 Inclusion criteria</w:t>
      </w:r>
    </w:p>
    <w:p w14:paraId="65C69717" w14:textId="77777777" w:rsidR="0046041D" w:rsidRPr="0046041D" w:rsidRDefault="0046041D" w:rsidP="007C0C43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color w:val="2E74B5" w:themeColor="accent1" w:themeShade="BF"/>
          <w:shd w:val="clear" w:color="auto" w:fill="FFFFFF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6318B" w14:paraId="060DC1C2" w14:textId="77777777" w:rsidTr="0076318B">
        <w:tc>
          <w:tcPr>
            <w:tcW w:w="4505" w:type="dxa"/>
          </w:tcPr>
          <w:p w14:paraId="19A2589F" w14:textId="640F82C1" w:rsidR="0076318B" w:rsidRDefault="0076318B" w:rsidP="007C0C43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color w:val="2E74B5" w:themeColor="accent1" w:themeShade="BF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2E74B5" w:themeColor="accent1" w:themeShade="BF"/>
                <w:sz w:val="21"/>
                <w:szCs w:val="21"/>
                <w:shd w:val="clear" w:color="auto" w:fill="FFFFFF"/>
                <w:lang w:eastAsia="en-US"/>
              </w:rPr>
              <w:t>Inclusion criteria</w:t>
            </w:r>
          </w:p>
        </w:tc>
        <w:tc>
          <w:tcPr>
            <w:tcW w:w="4505" w:type="dxa"/>
          </w:tcPr>
          <w:p w14:paraId="042E7A12" w14:textId="540CC9E2" w:rsidR="0076318B" w:rsidRDefault="0076318B" w:rsidP="007C0C43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color w:val="2E74B5" w:themeColor="accent1" w:themeShade="BF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2E74B5" w:themeColor="accent1" w:themeShade="BF"/>
                <w:sz w:val="21"/>
                <w:szCs w:val="21"/>
                <w:shd w:val="clear" w:color="auto" w:fill="FFFFFF"/>
                <w:lang w:eastAsia="en-US"/>
              </w:rPr>
              <w:t>Exclusion criteria</w:t>
            </w:r>
          </w:p>
        </w:tc>
      </w:tr>
      <w:tr w:rsidR="0076318B" w14:paraId="3441AE0A" w14:textId="77777777" w:rsidTr="0076318B">
        <w:tc>
          <w:tcPr>
            <w:tcW w:w="4505" w:type="dxa"/>
          </w:tcPr>
          <w:p w14:paraId="58CEF250" w14:textId="6F1E7001" w:rsidR="0076318B" w:rsidRPr="0076318B" w:rsidRDefault="0076318B" w:rsidP="007C0C43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Women with a </w:t>
            </w:r>
            <w:r w:rsidR="00296EA9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histology-proven</w:t>
            </w: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 in situ primary breast cancer ≥2 cm in diameter</w:t>
            </w:r>
          </w:p>
        </w:tc>
        <w:tc>
          <w:tcPr>
            <w:tcW w:w="4505" w:type="dxa"/>
          </w:tcPr>
          <w:p w14:paraId="63AB6941" w14:textId="17E8B976" w:rsidR="0076318B" w:rsidRPr="0076318B" w:rsidRDefault="0076318B" w:rsidP="007C0C43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Radiotherapy, major surgery, significant traumatic injury, endocrine therapy, immunotherapy, chemotherapy or experimental therapy during four weeks prior to starting or during </w:t>
            </w:r>
            <w:r w:rsidR="00296EA9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the </w:t>
            </w: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trial</w:t>
            </w:r>
          </w:p>
          <w:p w14:paraId="1632C1CE" w14:textId="01CE554F" w:rsidR="0076318B" w:rsidRPr="0076318B" w:rsidRDefault="0076318B" w:rsidP="0076318B">
            <w:pPr>
              <w:ind w:firstLine="720"/>
              <w:rPr>
                <w:rFonts w:asciiTheme="majorHAnsi" w:hAnsiTheme="majorHAnsi" w:cstheme="majorHAnsi"/>
                <w:sz w:val="21"/>
                <w:szCs w:val="21"/>
                <w:shd w:val="clear" w:color="auto" w:fill="FFFFFF"/>
              </w:rPr>
            </w:pPr>
          </w:p>
        </w:tc>
      </w:tr>
      <w:tr w:rsidR="0076318B" w14:paraId="334AD4B7" w14:textId="77777777" w:rsidTr="0076318B">
        <w:tc>
          <w:tcPr>
            <w:tcW w:w="4505" w:type="dxa"/>
          </w:tcPr>
          <w:p w14:paraId="56BE83EF" w14:textId="04E5E16E" w:rsidR="0076318B" w:rsidRPr="0076318B" w:rsidRDefault="0076318B" w:rsidP="007C0C43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Eastern Cooperative Oncology Group (ECOG) performance status 0–1</w:t>
            </w:r>
          </w:p>
        </w:tc>
        <w:tc>
          <w:tcPr>
            <w:tcW w:w="4505" w:type="dxa"/>
          </w:tcPr>
          <w:p w14:paraId="65D83A8B" w14:textId="67F97DEC" w:rsidR="0076318B" w:rsidRPr="0076318B" w:rsidRDefault="0076318B" w:rsidP="007C0C43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Pregnancy or </w:t>
            </w:r>
            <w:r w:rsidR="00296EA9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breastfeeding</w:t>
            </w:r>
          </w:p>
        </w:tc>
      </w:tr>
      <w:tr w:rsidR="0076318B" w14:paraId="4CDD646F" w14:textId="77777777" w:rsidTr="0076318B">
        <w:tc>
          <w:tcPr>
            <w:tcW w:w="4505" w:type="dxa"/>
          </w:tcPr>
          <w:p w14:paraId="58CF51BC" w14:textId="596FCA80" w:rsidR="0076318B" w:rsidRPr="0076318B" w:rsidRDefault="0076318B" w:rsidP="007C0C43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Age &gt;18 years</w:t>
            </w:r>
          </w:p>
        </w:tc>
        <w:tc>
          <w:tcPr>
            <w:tcW w:w="4505" w:type="dxa"/>
          </w:tcPr>
          <w:p w14:paraId="247F90A9" w14:textId="78151B57" w:rsidR="0076318B" w:rsidRPr="0076318B" w:rsidRDefault="0076318B" w:rsidP="007C0C43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History of type 1 or type 2 diabetes</w:t>
            </w:r>
          </w:p>
        </w:tc>
      </w:tr>
      <w:tr w:rsidR="0076318B" w14:paraId="251FDAA9" w14:textId="77777777" w:rsidTr="0076318B">
        <w:tc>
          <w:tcPr>
            <w:tcW w:w="4505" w:type="dxa"/>
          </w:tcPr>
          <w:p w14:paraId="6462C346" w14:textId="161B1A97" w:rsidR="0076318B" w:rsidRPr="0076318B" w:rsidRDefault="0076318B" w:rsidP="007C0C43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Fasting or random serum glucose less than 7.0 mmol/L</w:t>
            </w:r>
          </w:p>
        </w:tc>
        <w:tc>
          <w:tcPr>
            <w:tcW w:w="4505" w:type="dxa"/>
          </w:tcPr>
          <w:p w14:paraId="3BEA432D" w14:textId="23DEF650" w:rsidR="0076318B" w:rsidRPr="0076318B" w:rsidRDefault="0076318B" w:rsidP="007C0C43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Treatment with metformin in the past year</w:t>
            </w:r>
          </w:p>
        </w:tc>
      </w:tr>
      <w:tr w:rsidR="0076318B" w14:paraId="5F8C8FFA" w14:textId="77777777" w:rsidTr="0076318B">
        <w:tc>
          <w:tcPr>
            <w:tcW w:w="4505" w:type="dxa"/>
          </w:tcPr>
          <w:p w14:paraId="5214398B" w14:textId="66FA3A71" w:rsidR="0076318B" w:rsidRPr="0076318B" w:rsidRDefault="0076318B" w:rsidP="007C0C43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No prior treatment for breast cancer and scheduled to commence neoadjuvant chemotherapy in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  <w:r w:rsidR="0046041D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3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  <w:r w:rsidR="0046041D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weeks’ time</w:t>
            </w:r>
          </w:p>
        </w:tc>
        <w:tc>
          <w:tcPr>
            <w:tcW w:w="4505" w:type="dxa"/>
          </w:tcPr>
          <w:p w14:paraId="6CF07384" w14:textId="472D183C" w:rsidR="0076318B" w:rsidRPr="0076318B" w:rsidRDefault="0076318B" w:rsidP="007C0C43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Estimated glomerular filtration rate</w:t>
            </w:r>
          </w:p>
        </w:tc>
      </w:tr>
      <w:tr w:rsidR="0076318B" w14:paraId="628F8D64" w14:textId="77777777" w:rsidTr="0076318B">
        <w:tc>
          <w:tcPr>
            <w:tcW w:w="4505" w:type="dxa"/>
          </w:tcPr>
          <w:p w14:paraId="2E7C61EF" w14:textId="6B2EAA12" w:rsidR="0076318B" w:rsidRPr="0076318B" w:rsidRDefault="0076318B" w:rsidP="007C0C43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Have given written informed consent and are capable of cooperating with protocol</w:t>
            </w:r>
          </w:p>
        </w:tc>
        <w:tc>
          <w:tcPr>
            <w:tcW w:w="4505" w:type="dxa"/>
          </w:tcPr>
          <w:p w14:paraId="74C5C7D1" w14:textId="217C5CD5" w:rsidR="0076318B" w:rsidRPr="0076318B" w:rsidRDefault="0076318B" w:rsidP="007C0C43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Acute or chronic metabolic acidosis</w:t>
            </w:r>
          </w:p>
        </w:tc>
      </w:tr>
      <w:tr w:rsidR="0076318B" w14:paraId="3D9CB48E" w14:textId="77777777" w:rsidTr="0076318B">
        <w:tc>
          <w:tcPr>
            <w:tcW w:w="4505" w:type="dxa"/>
          </w:tcPr>
          <w:p w14:paraId="383027E5" w14:textId="5D66664E" w:rsidR="0076318B" w:rsidRPr="0076318B" w:rsidRDefault="0076318B" w:rsidP="007C0C43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Adequate bone marrow, renal and liver function</w:t>
            </w:r>
          </w:p>
        </w:tc>
        <w:tc>
          <w:tcPr>
            <w:tcW w:w="4505" w:type="dxa"/>
          </w:tcPr>
          <w:p w14:paraId="2A774B9E" w14:textId="4BE07930" w:rsidR="0076318B" w:rsidRPr="0076318B" w:rsidRDefault="0076318B" w:rsidP="007C0C43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Known hypersensitivity to metformin</w:t>
            </w:r>
          </w:p>
        </w:tc>
      </w:tr>
    </w:tbl>
    <w:p w14:paraId="72198CD2" w14:textId="7C5C4F02" w:rsidR="007C0C43" w:rsidRDefault="0076318B" w:rsidP="007C0C43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en-US"/>
        </w:rPr>
      </w:pPr>
      <w:r w:rsidRPr="0076318B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en-US"/>
        </w:rPr>
        <w:t>Table 1: Inclusion and exclusion criteria</w:t>
      </w:r>
    </w:p>
    <w:p w14:paraId="775AE73C" w14:textId="7B0D3447" w:rsidR="00466681" w:rsidRDefault="00E20649" w:rsidP="009544AA">
      <w:pPr>
        <w:pStyle w:val="Heading1"/>
      </w:pPr>
      <w:bookmarkStart w:id="9" w:name="_Toc161327339"/>
      <w:r>
        <w:t>Data</w:t>
      </w:r>
      <w:bookmarkEnd w:id="9"/>
    </w:p>
    <w:p w14:paraId="449B8440" w14:textId="1D2D59DA" w:rsidR="00F56141" w:rsidRDefault="00F56141" w:rsidP="00F56141"/>
    <w:p w14:paraId="0401DB56" w14:textId="156E286C" w:rsidR="00F56141" w:rsidRDefault="00F56141" w:rsidP="0098629D">
      <w:pPr>
        <w:rPr>
          <w:rFonts w:asciiTheme="majorHAnsi" w:hAnsiTheme="majorHAnsi" w:cstheme="majorHAnsi"/>
          <w:color w:val="2E74B5" w:themeColor="accent1" w:themeShade="BF"/>
          <w:shd w:val="clear" w:color="auto" w:fill="FFFFFF"/>
        </w:rPr>
      </w:pPr>
      <w:r w:rsidRPr="0098629D">
        <w:rPr>
          <w:rFonts w:asciiTheme="majorHAnsi" w:hAnsiTheme="majorHAnsi" w:cstheme="majorHAnsi"/>
          <w:color w:val="2E74B5" w:themeColor="accent1" w:themeShade="BF"/>
          <w:shd w:val="clear" w:color="auto" w:fill="FFFFFF"/>
        </w:rPr>
        <w:t>3.1 Samples available</w:t>
      </w:r>
    </w:p>
    <w:p w14:paraId="3E1167CA" w14:textId="77777777" w:rsidR="0098629D" w:rsidRPr="0098629D" w:rsidRDefault="0098629D" w:rsidP="0098629D">
      <w:pPr>
        <w:rPr>
          <w:rFonts w:asciiTheme="majorHAnsi" w:hAnsiTheme="majorHAnsi" w:cstheme="majorHAnsi"/>
          <w:color w:val="2E74B5" w:themeColor="accent1" w:themeShade="BF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559"/>
        <w:gridCol w:w="2494"/>
      </w:tblGrid>
      <w:tr w:rsidR="00F56141" w14:paraId="06CD1633" w14:textId="77777777" w:rsidTr="00E331BC">
        <w:tc>
          <w:tcPr>
            <w:tcW w:w="2405" w:type="dxa"/>
          </w:tcPr>
          <w:p w14:paraId="2A34C600" w14:textId="77777777" w:rsidR="00F56141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color w:val="2E74B5" w:themeColor="accent1" w:themeShade="BF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4111" w:type="dxa"/>
            <w:gridSpan w:val="2"/>
          </w:tcPr>
          <w:p w14:paraId="459CA539" w14:textId="77777777" w:rsidR="00F56141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color w:val="2E74B5" w:themeColor="accent1" w:themeShade="BF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2494" w:type="dxa"/>
          </w:tcPr>
          <w:p w14:paraId="257B5087" w14:textId="77777777" w:rsidR="00F56141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color w:val="2E74B5" w:themeColor="accent1" w:themeShade="BF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2E74B5" w:themeColor="accent1" w:themeShade="BF"/>
                <w:sz w:val="21"/>
                <w:szCs w:val="21"/>
                <w:shd w:val="clear" w:color="auto" w:fill="FFFFFF"/>
                <w:lang w:eastAsia="en-US"/>
              </w:rPr>
              <w:t>N of Patients</w:t>
            </w:r>
          </w:p>
        </w:tc>
      </w:tr>
      <w:tr w:rsidR="00F56141" w14:paraId="61C174E1" w14:textId="77777777" w:rsidTr="00E331BC">
        <w:tc>
          <w:tcPr>
            <w:tcW w:w="2405" w:type="dxa"/>
            <w:vMerge w:val="restart"/>
          </w:tcPr>
          <w:p w14:paraId="04D95D20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Recruitment and samples analysed</w:t>
            </w:r>
          </w:p>
        </w:tc>
        <w:tc>
          <w:tcPr>
            <w:tcW w:w="4111" w:type="dxa"/>
            <w:gridSpan w:val="2"/>
          </w:tcPr>
          <w:p w14:paraId="21D649C0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Total patient recruitment to study</w:t>
            </w:r>
          </w:p>
        </w:tc>
        <w:tc>
          <w:tcPr>
            <w:tcW w:w="2494" w:type="dxa"/>
          </w:tcPr>
          <w:p w14:paraId="34D81C46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41</w:t>
            </w:r>
          </w:p>
        </w:tc>
      </w:tr>
      <w:tr w:rsidR="00F56141" w14:paraId="559FB62F" w14:textId="77777777" w:rsidTr="00E331BC">
        <w:tc>
          <w:tcPr>
            <w:tcW w:w="2405" w:type="dxa"/>
            <w:vMerge/>
          </w:tcPr>
          <w:p w14:paraId="55ADD891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4111" w:type="dxa"/>
            <w:gridSpan w:val="2"/>
          </w:tcPr>
          <w:p w14:paraId="095A240C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Number of paired PET-CT scans available for analysis</w:t>
            </w:r>
          </w:p>
        </w:tc>
        <w:tc>
          <w:tcPr>
            <w:tcW w:w="2494" w:type="dxa"/>
          </w:tcPr>
          <w:p w14:paraId="62258D04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36</w:t>
            </w:r>
          </w:p>
        </w:tc>
      </w:tr>
      <w:tr w:rsidR="00F56141" w14:paraId="4DB073FB" w14:textId="77777777" w:rsidTr="00F755AB">
        <w:tc>
          <w:tcPr>
            <w:tcW w:w="2405" w:type="dxa"/>
            <w:vMerge/>
          </w:tcPr>
          <w:p w14:paraId="6B1CF9D8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14:paraId="51A9CC54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Number of paired tumour samples with sufficient material for analysis</w:t>
            </w:r>
          </w:p>
        </w:tc>
        <w:tc>
          <w:tcPr>
            <w:tcW w:w="1559" w:type="dxa"/>
          </w:tcPr>
          <w:p w14:paraId="7A108BE7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Metabolomics</w:t>
            </w:r>
          </w:p>
        </w:tc>
        <w:tc>
          <w:tcPr>
            <w:tcW w:w="2494" w:type="dxa"/>
          </w:tcPr>
          <w:p w14:paraId="67D41181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29</w:t>
            </w:r>
          </w:p>
        </w:tc>
      </w:tr>
      <w:tr w:rsidR="00F56141" w14:paraId="76BDB854" w14:textId="77777777" w:rsidTr="00F755AB">
        <w:tc>
          <w:tcPr>
            <w:tcW w:w="2405" w:type="dxa"/>
            <w:vMerge/>
          </w:tcPr>
          <w:p w14:paraId="055E302A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  <w:vMerge/>
          </w:tcPr>
          <w:p w14:paraId="096A75C8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14:paraId="543527D0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RNASeq</w:t>
            </w:r>
          </w:p>
        </w:tc>
        <w:tc>
          <w:tcPr>
            <w:tcW w:w="2494" w:type="dxa"/>
          </w:tcPr>
          <w:p w14:paraId="16452C35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36</w:t>
            </w:r>
          </w:p>
        </w:tc>
      </w:tr>
    </w:tbl>
    <w:p w14:paraId="742023DA" w14:textId="577F4C7E" w:rsidR="00F56141" w:rsidRDefault="00F56141" w:rsidP="00F56141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en-US"/>
        </w:rPr>
      </w:pPr>
      <w:r w:rsidRPr="0076318B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en-US"/>
        </w:rPr>
        <w:t xml:space="preserve">Table </w:t>
      </w:r>
      <w:r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en-US"/>
        </w:rPr>
        <w:t>2</w:t>
      </w:r>
      <w:r w:rsidRPr="0076318B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en-US"/>
        </w:rPr>
        <w:t xml:space="preserve">: </w:t>
      </w:r>
      <w:r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en-US"/>
        </w:rPr>
        <w:t>Samples available</w:t>
      </w:r>
    </w:p>
    <w:p w14:paraId="69A3CD7B" w14:textId="4C0EE5B6" w:rsidR="00F56141" w:rsidRDefault="00F56141" w:rsidP="00F56141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en-US"/>
        </w:rPr>
      </w:pPr>
    </w:p>
    <w:p w14:paraId="728F64E2" w14:textId="224EA0DB" w:rsidR="00F56141" w:rsidRPr="0098629D" w:rsidRDefault="00F56141" w:rsidP="0098629D">
      <w:pPr>
        <w:rPr>
          <w:rFonts w:asciiTheme="majorHAnsi" w:hAnsiTheme="majorHAnsi" w:cstheme="majorHAnsi"/>
          <w:color w:val="2E74B5" w:themeColor="accent1" w:themeShade="BF"/>
          <w:shd w:val="clear" w:color="auto" w:fill="FFFFFF"/>
        </w:rPr>
      </w:pPr>
      <w:r w:rsidRPr="0098629D">
        <w:rPr>
          <w:rFonts w:asciiTheme="majorHAnsi" w:hAnsiTheme="majorHAnsi" w:cstheme="majorHAnsi"/>
          <w:color w:val="2E74B5" w:themeColor="accent1" w:themeShade="BF"/>
          <w:shd w:val="clear" w:color="auto" w:fill="FFFFFF"/>
        </w:rPr>
        <w:t xml:space="preserve">3.2 Tumours and </w:t>
      </w:r>
      <w:proofErr w:type="gramStart"/>
      <w:r w:rsidRPr="0098629D">
        <w:rPr>
          <w:rFonts w:asciiTheme="majorHAnsi" w:hAnsiTheme="majorHAnsi" w:cstheme="majorHAnsi"/>
          <w:color w:val="2E74B5" w:themeColor="accent1" w:themeShade="BF"/>
          <w:shd w:val="clear" w:color="auto" w:fill="FFFFFF"/>
        </w:rPr>
        <w:t>patients</w:t>
      </w:r>
      <w:proofErr w:type="gramEnd"/>
      <w:r w:rsidRPr="0098629D">
        <w:rPr>
          <w:rFonts w:asciiTheme="majorHAnsi" w:hAnsiTheme="majorHAnsi" w:cstheme="majorHAnsi"/>
          <w:color w:val="2E74B5" w:themeColor="accent1" w:themeShade="BF"/>
          <w:shd w:val="clear" w:color="auto" w:fill="FFFFFF"/>
        </w:rPr>
        <w:t xml:space="preserve"> characteristics</w:t>
      </w:r>
    </w:p>
    <w:p w14:paraId="100C4F85" w14:textId="54FD4DD9" w:rsidR="00F56141" w:rsidRDefault="00F56141" w:rsidP="00F56141">
      <w:pPr>
        <w:jc w:val="both"/>
        <w:rPr>
          <w:rFonts w:asciiTheme="majorHAnsi" w:hAnsiTheme="majorHAnsi" w:cstheme="majorHAnsi"/>
          <w:sz w:val="21"/>
          <w:szCs w:val="2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2494"/>
      </w:tblGrid>
      <w:tr w:rsidR="00F56141" w:rsidRPr="0076318B" w14:paraId="7E04A434" w14:textId="77777777" w:rsidTr="00BD1CC5">
        <w:tc>
          <w:tcPr>
            <w:tcW w:w="2405" w:type="dxa"/>
            <w:vMerge w:val="restart"/>
          </w:tcPr>
          <w:p w14:paraId="65EB97AE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ER/HER2 status</w:t>
            </w:r>
          </w:p>
        </w:tc>
        <w:tc>
          <w:tcPr>
            <w:tcW w:w="4111" w:type="dxa"/>
          </w:tcPr>
          <w:p w14:paraId="1A26E4C0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ER positive</w:t>
            </w:r>
          </w:p>
        </w:tc>
        <w:tc>
          <w:tcPr>
            <w:tcW w:w="2494" w:type="dxa"/>
          </w:tcPr>
          <w:p w14:paraId="61225ADC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32</w:t>
            </w:r>
          </w:p>
        </w:tc>
      </w:tr>
      <w:tr w:rsidR="00F56141" w:rsidRPr="0076318B" w14:paraId="193A0691" w14:textId="77777777" w:rsidTr="00BD1CC5">
        <w:tc>
          <w:tcPr>
            <w:tcW w:w="2405" w:type="dxa"/>
            <w:vMerge/>
          </w:tcPr>
          <w:p w14:paraId="131C4984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4111" w:type="dxa"/>
          </w:tcPr>
          <w:p w14:paraId="3F3D12B6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ER negative</w:t>
            </w:r>
          </w:p>
        </w:tc>
        <w:tc>
          <w:tcPr>
            <w:tcW w:w="2494" w:type="dxa"/>
          </w:tcPr>
          <w:p w14:paraId="2503AE14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9</w:t>
            </w:r>
          </w:p>
        </w:tc>
      </w:tr>
      <w:tr w:rsidR="00F56141" w:rsidRPr="0076318B" w14:paraId="1A0E98AE" w14:textId="77777777" w:rsidTr="00BD1CC5">
        <w:tc>
          <w:tcPr>
            <w:tcW w:w="2405" w:type="dxa"/>
            <w:vMerge/>
          </w:tcPr>
          <w:p w14:paraId="621A9F39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4111" w:type="dxa"/>
          </w:tcPr>
          <w:p w14:paraId="325B308A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HER2 positive</w:t>
            </w:r>
          </w:p>
        </w:tc>
        <w:tc>
          <w:tcPr>
            <w:tcW w:w="2494" w:type="dxa"/>
          </w:tcPr>
          <w:p w14:paraId="6F61E802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8</w:t>
            </w:r>
          </w:p>
        </w:tc>
      </w:tr>
      <w:tr w:rsidR="00F56141" w:rsidRPr="0076318B" w14:paraId="779E07A7" w14:textId="77777777" w:rsidTr="00BD1CC5">
        <w:tc>
          <w:tcPr>
            <w:tcW w:w="2405" w:type="dxa"/>
            <w:vMerge/>
          </w:tcPr>
          <w:p w14:paraId="3D03F9BE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4111" w:type="dxa"/>
          </w:tcPr>
          <w:p w14:paraId="5C90C025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HER2 negative</w:t>
            </w:r>
          </w:p>
        </w:tc>
        <w:tc>
          <w:tcPr>
            <w:tcW w:w="2494" w:type="dxa"/>
          </w:tcPr>
          <w:p w14:paraId="38282847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33</w:t>
            </w:r>
          </w:p>
        </w:tc>
      </w:tr>
      <w:tr w:rsidR="00F56141" w:rsidRPr="0076318B" w14:paraId="331836CF" w14:textId="77777777" w:rsidTr="00BD1CC5">
        <w:tc>
          <w:tcPr>
            <w:tcW w:w="2405" w:type="dxa"/>
            <w:vMerge/>
          </w:tcPr>
          <w:p w14:paraId="04988609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4111" w:type="dxa"/>
          </w:tcPr>
          <w:p w14:paraId="6A5ABE31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Triple negative (ER negative and HER2 negative)</w:t>
            </w:r>
          </w:p>
        </w:tc>
        <w:tc>
          <w:tcPr>
            <w:tcW w:w="2494" w:type="dxa"/>
          </w:tcPr>
          <w:p w14:paraId="363F3D1C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8</w:t>
            </w:r>
          </w:p>
        </w:tc>
      </w:tr>
      <w:tr w:rsidR="00F56141" w:rsidRPr="0076318B" w14:paraId="1D5FFC01" w14:textId="77777777" w:rsidTr="00BD1CC5">
        <w:tc>
          <w:tcPr>
            <w:tcW w:w="2405" w:type="dxa"/>
            <w:vMerge w:val="restart"/>
          </w:tcPr>
          <w:p w14:paraId="42FB82A8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Tumour type</w:t>
            </w:r>
          </w:p>
        </w:tc>
        <w:tc>
          <w:tcPr>
            <w:tcW w:w="4111" w:type="dxa"/>
          </w:tcPr>
          <w:p w14:paraId="45D0509B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Ductal carcinoma</w:t>
            </w:r>
          </w:p>
        </w:tc>
        <w:tc>
          <w:tcPr>
            <w:tcW w:w="2494" w:type="dxa"/>
          </w:tcPr>
          <w:p w14:paraId="63B12186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32</w:t>
            </w:r>
          </w:p>
        </w:tc>
      </w:tr>
      <w:tr w:rsidR="00F56141" w:rsidRPr="0076318B" w14:paraId="10BF2E76" w14:textId="77777777" w:rsidTr="00BD1CC5">
        <w:tc>
          <w:tcPr>
            <w:tcW w:w="2405" w:type="dxa"/>
            <w:vMerge/>
          </w:tcPr>
          <w:p w14:paraId="0653828A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4111" w:type="dxa"/>
          </w:tcPr>
          <w:p w14:paraId="4CC3A93F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Lobular carcinoma</w:t>
            </w:r>
          </w:p>
        </w:tc>
        <w:tc>
          <w:tcPr>
            <w:tcW w:w="2494" w:type="dxa"/>
          </w:tcPr>
          <w:p w14:paraId="0940A9CF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7</w:t>
            </w:r>
          </w:p>
        </w:tc>
      </w:tr>
      <w:tr w:rsidR="00F56141" w:rsidRPr="0076318B" w14:paraId="42289697" w14:textId="77777777" w:rsidTr="00BD1CC5">
        <w:tc>
          <w:tcPr>
            <w:tcW w:w="2405" w:type="dxa"/>
            <w:vMerge/>
          </w:tcPr>
          <w:p w14:paraId="11662A8E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4111" w:type="dxa"/>
          </w:tcPr>
          <w:p w14:paraId="177B3A38" w14:textId="77777777" w:rsidR="00F56141" w:rsidRPr="0057663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57663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Mixed ductal and lobular carcinoma</w:t>
            </w:r>
          </w:p>
        </w:tc>
        <w:tc>
          <w:tcPr>
            <w:tcW w:w="2494" w:type="dxa"/>
          </w:tcPr>
          <w:p w14:paraId="4DCE6E82" w14:textId="77777777" w:rsidR="0057663B" w:rsidRPr="0057663B" w:rsidRDefault="0057663B" w:rsidP="0057663B">
            <w:pPr>
              <w:shd w:val="clear" w:color="auto" w:fill="FFFFFF"/>
              <w:rPr>
                <w:rFonts w:ascii="Segoe UI" w:hAnsi="Segoe UI" w:cs="Segoe UI"/>
                <w:sz w:val="23"/>
                <w:szCs w:val="23"/>
                <w:lang w:eastAsia="en-GB"/>
              </w:rPr>
            </w:pPr>
            <w:r w:rsidRPr="0057663B">
              <w:rPr>
                <w:rFonts w:ascii="Calibri Light" w:hAnsi="Calibri Light" w:cs="Calibri Light"/>
                <w:sz w:val="21"/>
                <w:szCs w:val="21"/>
                <w:bdr w:val="none" w:sz="0" w:space="0" w:color="auto" w:frame="1"/>
                <w:shd w:val="clear" w:color="auto" w:fill="FFFFFF"/>
                <w:lang w:val="en-US" w:eastAsia="en-GB"/>
              </w:rPr>
              <w:t>1=Mixed Ductal &amp; Lobular</w:t>
            </w:r>
          </w:p>
          <w:p w14:paraId="6D752565" w14:textId="5A55A07C" w:rsidR="00F56141" w:rsidRPr="0057663B" w:rsidRDefault="0057663B" w:rsidP="0057663B">
            <w:pPr>
              <w:shd w:val="clear" w:color="auto" w:fill="FFFFFF"/>
              <w:rPr>
                <w:rFonts w:ascii="Segoe UI" w:hAnsi="Segoe UI" w:cs="Segoe UI"/>
                <w:sz w:val="23"/>
                <w:szCs w:val="23"/>
                <w:lang w:eastAsia="en-GB"/>
              </w:rPr>
            </w:pPr>
            <w:r w:rsidRPr="0057663B">
              <w:rPr>
                <w:rFonts w:ascii="Calibri Light" w:hAnsi="Calibri Light" w:cs="Calibri Light"/>
                <w:sz w:val="21"/>
                <w:szCs w:val="21"/>
                <w:bdr w:val="none" w:sz="0" w:space="0" w:color="auto" w:frame="1"/>
                <w:shd w:val="clear" w:color="auto" w:fill="FFFFFF"/>
                <w:lang w:val="en-US" w:eastAsia="en-GB"/>
              </w:rPr>
              <w:t>1=Main Mass unusual morphology</w:t>
            </w:r>
          </w:p>
        </w:tc>
      </w:tr>
      <w:tr w:rsidR="00F56141" w:rsidRPr="0076318B" w14:paraId="5000C924" w14:textId="77777777" w:rsidTr="00BD1CC5">
        <w:tc>
          <w:tcPr>
            <w:tcW w:w="2405" w:type="dxa"/>
            <w:vMerge/>
          </w:tcPr>
          <w:p w14:paraId="2A260549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4111" w:type="dxa"/>
          </w:tcPr>
          <w:p w14:paraId="0FA5809D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Grade 1</w:t>
            </w:r>
          </w:p>
        </w:tc>
        <w:tc>
          <w:tcPr>
            <w:tcW w:w="2494" w:type="dxa"/>
          </w:tcPr>
          <w:p w14:paraId="5B43B843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2</w:t>
            </w:r>
          </w:p>
        </w:tc>
      </w:tr>
      <w:tr w:rsidR="00F56141" w:rsidRPr="0076318B" w14:paraId="2415FD18" w14:textId="77777777" w:rsidTr="00BD1CC5">
        <w:tc>
          <w:tcPr>
            <w:tcW w:w="2405" w:type="dxa"/>
            <w:vMerge/>
          </w:tcPr>
          <w:p w14:paraId="49314C02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4111" w:type="dxa"/>
          </w:tcPr>
          <w:p w14:paraId="033DD214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Grade 2</w:t>
            </w:r>
          </w:p>
        </w:tc>
        <w:tc>
          <w:tcPr>
            <w:tcW w:w="2494" w:type="dxa"/>
          </w:tcPr>
          <w:p w14:paraId="75B10B93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24</w:t>
            </w:r>
          </w:p>
        </w:tc>
      </w:tr>
      <w:tr w:rsidR="00F56141" w:rsidRPr="0076318B" w14:paraId="49E37692" w14:textId="77777777" w:rsidTr="00BD1CC5">
        <w:tc>
          <w:tcPr>
            <w:tcW w:w="2405" w:type="dxa"/>
            <w:vMerge/>
          </w:tcPr>
          <w:p w14:paraId="7A9B417B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4111" w:type="dxa"/>
          </w:tcPr>
          <w:p w14:paraId="312BFBA1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Grade 3</w:t>
            </w:r>
          </w:p>
        </w:tc>
        <w:tc>
          <w:tcPr>
            <w:tcW w:w="2494" w:type="dxa"/>
          </w:tcPr>
          <w:p w14:paraId="7F611159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15</w:t>
            </w:r>
          </w:p>
        </w:tc>
      </w:tr>
      <w:tr w:rsidR="00F56141" w:rsidRPr="0076318B" w14:paraId="1685E61E" w14:textId="77777777" w:rsidTr="00BD1CC5">
        <w:tc>
          <w:tcPr>
            <w:tcW w:w="2405" w:type="dxa"/>
            <w:vMerge/>
          </w:tcPr>
          <w:p w14:paraId="3648A6F7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4111" w:type="dxa"/>
          </w:tcPr>
          <w:p w14:paraId="1C3A2919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Median tumour size (on magnetic resonance imaging)</w:t>
            </w:r>
          </w:p>
        </w:tc>
        <w:tc>
          <w:tcPr>
            <w:tcW w:w="2494" w:type="dxa"/>
          </w:tcPr>
          <w:p w14:paraId="7E4775FA" w14:textId="77777777" w:rsidR="00F56141" w:rsidRPr="0076318B" w:rsidRDefault="00F56141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49mm (range 30–147)</w:t>
            </w:r>
          </w:p>
        </w:tc>
      </w:tr>
      <w:tr w:rsidR="00BD1CC5" w:rsidRPr="0076318B" w14:paraId="4E152468" w14:textId="77777777" w:rsidTr="00BD1CC5">
        <w:tc>
          <w:tcPr>
            <w:tcW w:w="2405" w:type="dxa"/>
            <w:vMerge w:val="restart"/>
          </w:tcPr>
          <w:p w14:paraId="29D9CEC3" w14:textId="77777777" w:rsidR="00BD1CC5" w:rsidRPr="0076318B" w:rsidRDefault="00BD1CC5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Patient characteristics</w:t>
            </w:r>
          </w:p>
        </w:tc>
        <w:tc>
          <w:tcPr>
            <w:tcW w:w="4111" w:type="dxa"/>
          </w:tcPr>
          <w:p w14:paraId="23DDDBB8" w14:textId="77777777" w:rsidR="00BD1CC5" w:rsidRPr="0076318B" w:rsidRDefault="00BD1CC5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Median age at study entry</w:t>
            </w:r>
          </w:p>
        </w:tc>
        <w:tc>
          <w:tcPr>
            <w:tcW w:w="2494" w:type="dxa"/>
          </w:tcPr>
          <w:p w14:paraId="1142E342" w14:textId="77777777" w:rsidR="00BD1CC5" w:rsidRPr="0076318B" w:rsidRDefault="00BD1CC5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49 years (range 27–67)</w:t>
            </w:r>
          </w:p>
        </w:tc>
      </w:tr>
      <w:tr w:rsidR="00BD1CC5" w:rsidRPr="0076318B" w14:paraId="56EC4697" w14:textId="77777777" w:rsidTr="00BD1CC5">
        <w:tc>
          <w:tcPr>
            <w:tcW w:w="2405" w:type="dxa"/>
            <w:vMerge/>
          </w:tcPr>
          <w:p w14:paraId="1C2283EC" w14:textId="77777777" w:rsidR="00BD1CC5" w:rsidRPr="0076318B" w:rsidRDefault="00BD1CC5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4111" w:type="dxa"/>
          </w:tcPr>
          <w:p w14:paraId="732BBBEA" w14:textId="77777777" w:rsidR="00BD1CC5" w:rsidRPr="0076318B" w:rsidRDefault="00BD1CC5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Median body mass index</w:t>
            </w:r>
          </w:p>
        </w:tc>
        <w:tc>
          <w:tcPr>
            <w:tcW w:w="2494" w:type="dxa"/>
          </w:tcPr>
          <w:p w14:paraId="6FD4EF46" w14:textId="77777777" w:rsidR="00BD1CC5" w:rsidRPr="0076318B" w:rsidRDefault="00BD1CC5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28.1 (range 19.6–45.3</w:t>
            </w:r>
          </w:p>
        </w:tc>
      </w:tr>
      <w:tr w:rsidR="007B290B" w:rsidRPr="0076318B" w14:paraId="40CF3994" w14:textId="77777777" w:rsidTr="00157542">
        <w:tc>
          <w:tcPr>
            <w:tcW w:w="2405" w:type="dxa"/>
            <w:vMerge/>
          </w:tcPr>
          <w:p w14:paraId="44DB668B" w14:textId="77777777" w:rsidR="007B290B" w:rsidRPr="0076318B" w:rsidRDefault="007B290B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6605" w:type="dxa"/>
            <w:gridSpan w:val="2"/>
          </w:tcPr>
          <w:p w14:paraId="18599C55" w14:textId="2B64A4CA" w:rsidR="007B290B" w:rsidRPr="0076318B" w:rsidRDefault="007B290B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Height</w:t>
            </w:r>
          </w:p>
        </w:tc>
      </w:tr>
      <w:tr w:rsidR="007B290B" w:rsidRPr="0076318B" w14:paraId="025B78C3" w14:textId="77777777" w:rsidTr="00091A92">
        <w:tc>
          <w:tcPr>
            <w:tcW w:w="2405" w:type="dxa"/>
            <w:vMerge/>
          </w:tcPr>
          <w:p w14:paraId="24C1E58F" w14:textId="77777777" w:rsidR="007B290B" w:rsidRPr="0076318B" w:rsidRDefault="007B290B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6605" w:type="dxa"/>
            <w:gridSpan w:val="2"/>
          </w:tcPr>
          <w:p w14:paraId="66A27B27" w14:textId="77BD40B9" w:rsidR="007B290B" w:rsidRPr="0076318B" w:rsidRDefault="007B290B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Weight</w:t>
            </w:r>
          </w:p>
        </w:tc>
      </w:tr>
      <w:tr w:rsidR="00BD1CC5" w:rsidRPr="0076318B" w14:paraId="4C92F974" w14:textId="77777777" w:rsidTr="00BD1CC5">
        <w:tc>
          <w:tcPr>
            <w:tcW w:w="2405" w:type="dxa"/>
          </w:tcPr>
          <w:p w14:paraId="569918B3" w14:textId="77777777" w:rsidR="00BD1CC5" w:rsidRDefault="00BD1CC5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bookmarkStart w:id="10" w:name="_Hlk168573328"/>
            <w:r w:rsidRPr="0076318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Patient characteristics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</w:p>
          <w:p w14:paraId="35306626" w14:textId="4645DDBF" w:rsidR="00BD1CC5" w:rsidRPr="0076318B" w:rsidRDefault="00BD1CC5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Pre</w:t>
            </w:r>
            <w:r w:rsidR="007B290B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-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 and post-intervention</w:t>
            </w:r>
          </w:p>
        </w:tc>
        <w:tc>
          <w:tcPr>
            <w:tcW w:w="6605" w:type="dxa"/>
            <w:gridSpan w:val="2"/>
          </w:tcPr>
          <w:p w14:paraId="494DE690" w14:textId="36B1B5D3" w:rsidR="00BD1CC5" w:rsidRPr="0076318B" w:rsidRDefault="003B3A9D" w:rsidP="00B41D20">
            <w:pPr>
              <w:pStyle w:val="NormalWeb"/>
              <w:spacing w:before="0" w:beforeAutospacing="0" w:after="0" w:afterAutospacing="0"/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Glucose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Total cholesterol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HDL cholesterol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Triglyceride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Lactate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Insulin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Insulin.1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C peptide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IGF1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IGF2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IGF BP3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Leptin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HOMA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p4EBP1 in tumour nucleus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p4EBP1 in tumour cytoplasm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P56RP  in tumour cytoplasm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pAMPK</w:t>
            </w:r>
            <w:proofErr w:type="spellEnd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 in tumour nucleus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S Adenosyl Methionine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="009028A9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G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lycerylphosphorylethanolamine</w:t>
            </w:r>
            <w:proofErr w:type="spellEnd"/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Aspartate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N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AcetylAspartate</w:t>
            </w:r>
            <w:proofErr w:type="spellEnd"/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Myristic Acid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GlucoseNa</w:t>
            </w:r>
            <w:proofErr w:type="spellEnd"/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NAD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Urea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P56RP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Linoleic Acid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Palmitoleic Acid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Palmitic Acid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GSH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Creatinine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Oleic Acid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Propionylcarnitine</w:t>
            </w:r>
            <w:proofErr w:type="spellEnd"/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Stearic Acid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Arginine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Glycerylphosphorylcholine</w:t>
            </w:r>
            <w:proofErr w:type="spellEnd"/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Pyruvate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MRI Breasts Baseline Tumour size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X3 Hydroxybutyrate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Fumarate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Malate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S Adenosyl Homocysteine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Adenine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Acetylcarnitine</w:t>
            </w:r>
            <w:proofErr w:type="spellEnd"/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Succinate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AMP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Alanine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Asparagine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Glutamate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Hexose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Tryptophan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pAMPK</w:t>
            </w:r>
            <w:proofErr w:type="spellEnd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 tumour nuclear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IGF1 IGF2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ADP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HexosePhosphate</w:t>
            </w:r>
            <w:proofErr w:type="spellEnd"/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Glycerate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Pyroglutamic Acid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ATP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Gluconate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Ornithine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IGF1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Serine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Insulin.1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Insulin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Triglyceride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BMI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Proline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ButyrylCarnitine</w:t>
            </w:r>
            <w:proofErr w:type="spellEnd"/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IGF1 IGF BP3 ratio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Glutamine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Adenosine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Leucine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AcetylCholine</w:t>
            </w:r>
            <w:proofErr w:type="spellEnd"/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Citrate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Age Study entry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Xylulose5Phosphate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Hypoxanthine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Ribulose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Sample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TimePoint</w:t>
            </w:r>
            <w:proofErr w:type="spellEnd"/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Dihydrothymine</w:t>
            </w:r>
            <w:proofErr w:type="spellEnd"/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Valine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IGF BP3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Phenylalanine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MRI Breasts Radiological response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Leptin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Lactate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Glycine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Threonine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Choline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Ribose Ribulose 5Phosphate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Methionine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GSSG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Ethanolamine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pCR</w:t>
            </w:r>
            <w:proofErr w:type="spellEnd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 RATE 1 .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pCR</w:t>
            </w:r>
            <w:proofErr w:type="spellEnd"/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Taurin</w:t>
            </w:r>
            <w:proofErr w:type="spellEnd"/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Uracil</w:t>
            </w:r>
            <w:r w:rsidR="00296EA9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,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Guanine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HOMA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Homocysteine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Cytosine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Lactate 1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Sedoheptulose</w:t>
            </w:r>
            <w:proofErr w:type="spellEnd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 7 phosphate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Kynurenine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Ki</w:t>
            </w:r>
            <w:proofErr w:type="gram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67  nuclei</w:t>
            </w:r>
            <w:proofErr w:type="gramEnd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 stained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MRI Breasts Comments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pAMPK</w:t>
            </w:r>
            <w:proofErr w:type="spellEnd"/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 tumour cytoplasm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Carnitine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Nicotinamide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Histidine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C peptide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IGF2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Citrulline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Tyrosine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MRI Breasts Kuhl curve type</w:t>
            </w:r>
            <w:r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, </w:t>
            </w:r>
            <w:r w:rsidRPr="00CF6D16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>Lysine</w:t>
            </w:r>
            <w:r w:rsidR="00BD1CC5">
              <w:rPr>
                <w:rFonts w:asciiTheme="majorHAnsi" w:eastAsia="Times New Roman" w:hAnsiTheme="majorHAnsi" w:cstheme="majorHAnsi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</w:p>
        </w:tc>
      </w:tr>
    </w:tbl>
    <w:bookmarkEnd w:id="10"/>
    <w:p w14:paraId="4B314D5A" w14:textId="65862685" w:rsidR="00F56141" w:rsidRDefault="00F56141" w:rsidP="00F56141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en-US"/>
        </w:rPr>
      </w:pPr>
      <w:r w:rsidRPr="0076318B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en-US"/>
        </w:rPr>
        <w:t xml:space="preserve">Table </w:t>
      </w:r>
      <w:r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en-US"/>
        </w:rPr>
        <w:t>3</w:t>
      </w:r>
      <w:r w:rsidRPr="0076318B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en-US"/>
        </w:rPr>
        <w:t xml:space="preserve">: </w:t>
      </w:r>
      <w:r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en-US"/>
        </w:rPr>
        <w:t>Tumours</w:t>
      </w:r>
      <w:r w:rsidR="00DD0DA9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en-US"/>
        </w:rPr>
        <w:t>, patients</w:t>
      </w:r>
      <w:r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en-US"/>
        </w:rPr>
        <w:t xml:space="preserve"> and samples characteristics</w:t>
      </w:r>
      <w:r w:rsidR="00DD0DA9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en-US"/>
        </w:rPr>
        <w:t xml:space="preserve"> recorded</w:t>
      </w:r>
    </w:p>
    <w:p w14:paraId="2D943552" w14:textId="77777777" w:rsidR="0098629D" w:rsidRDefault="0098629D" w:rsidP="006E25D4">
      <w:pPr>
        <w:rPr>
          <w:rFonts w:asciiTheme="majorHAnsi" w:hAnsiTheme="majorHAnsi" w:cstheme="majorHAnsi"/>
          <w:color w:val="2E74B5" w:themeColor="accent1" w:themeShade="BF"/>
          <w:shd w:val="clear" w:color="auto" w:fill="FFFFFF"/>
        </w:rPr>
      </w:pPr>
    </w:p>
    <w:p w14:paraId="3B0020E9" w14:textId="4981D8FC" w:rsidR="006E25D4" w:rsidRDefault="0098629D" w:rsidP="006E25D4">
      <w:pPr>
        <w:rPr>
          <w:rFonts w:asciiTheme="majorHAnsi" w:hAnsiTheme="majorHAnsi" w:cstheme="majorHAnsi"/>
          <w:color w:val="2E74B5" w:themeColor="accent1" w:themeShade="BF"/>
          <w:shd w:val="clear" w:color="auto" w:fill="FFFFFF"/>
        </w:rPr>
      </w:pPr>
      <w:r>
        <w:rPr>
          <w:rFonts w:asciiTheme="majorHAnsi" w:hAnsiTheme="majorHAnsi" w:cstheme="majorHAnsi"/>
          <w:color w:val="2E74B5" w:themeColor="accent1" w:themeShade="BF"/>
          <w:shd w:val="clear" w:color="auto" w:fill="FFFFFF"/>
        </w:rPr>
        <w:t>3.3</w:t>
      </w:r>
      <w:r w:rsidR="006E25D4" w:rsidRPr="006E25D4">
        <w:rPr>
          <w:rFonts w:asciiTheme="majorHAnsi" w:hAnsiTheme="majorHAnsi" w:cstheme="majorHAnsi"/>
          <w:color w:val="2E74B5" w:themeColor="accent1" w:themeShade="BF"/>
          <w:shd w:val="clear" w:color="auto" w:fill="FFFFFF"/>
        </w:rPr>
        <w:t xml:space="preserve"> RNASeq</w:t>
      </w:r>
    </w:p>
    <w:p w14:paraId="14F2DF1C" w14:textId="77777777" w:rsidR="00B047F8" w:rsidRDefault="00B047F8" w:rsidP="006E25D4">
      <w:pPr>
        <w:rPr>
          <w:rFonts w:asciiTheme="majorHAnsi" w:hAnsiTheme="majorHAnsi" w:cstheme="majorHAnsi"/>
          <w:color w:val="2E74B5" w:themeColor="accent1" w:themeShade="BF"/>
          <w:shd w:val="clear" w:color="auto" w:fill="FFFFFF"/>
        </w:rPr>
      </w:pPr>
    </w:p>
    <w:p w14:paraId="5E8F05CF" w14:textId="573B68C2" w:rsidR="00F56141" w:rsidRDefault="00F56141" w:rsidP="00F56141">
      <w:pPr>
        <w:rPr>
          <w:rFonts w:asciiTheme="majorHAnsi" w:hAnsiTheme="majorHAnsi" w:cstheme="majorHAnsi"/>
          <w:sz w:val="21"/>
          <w:szCs w:val="21"/>
          <w:shd w:val="clear" w:color="auto" w:fill="FFFFFF"/>
        </w:rPr>
      </w:pPr>
      <w:r>
        <w:rPr>
          <w:rFonts w:asciiTheme="majorHAnsi" w:hAnsiTheme="majorHAnsi" w:cstheme="majorHAnsi"/>
          <w:sz w:val="21"/>
          <w:szCs w:val="21"/>
        </w:rPr>
        <w:t>Samples are</w:t>
      </w:r>
      <w:r w:rsidRPr="00F56141">
        <w:rPr>
          <w:rFonts w:asciiTheme="majorHAnsi" w:hAnsiTheme="majorHAnsi" w:cstheme="majorHAnsi"/>
          <w:sz w:val="21"/>
          <w:szCs w:val="21"/>
        </w:rPr>
        <w:t xml:space="preserve"> pre-metformin administration breast cancer </w:t>
      </w:r>
      <w:r w:rsidR="00B64B99">
        <w:rPr>
          <w:rFonts w:asciiTheme="majorHAnsi" w:hAnsiTheme="majorHAnsi" w:cstheme="majorHAnsi"/>
          <w:sz w:val="21"/>
          <w:szCs w:val="21"/>
        </w:rPr>
        <w:t>biopsies</w:t>
      </w:r>
      <w:r w:rsidRPr="00F56141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 </w:t>
      </w:r>
      <w:r w:rsidRPr="007C0C43">
        <w:rPr>
          <w:rFonts w:asciiTheme="majorHAnsi" w:hAnsiTheme="majorHAnsi" w:cstheme="majorHAnsi"/>
          <w:sz w:val="21"/>
          <w:szCs w:val="21"/>
          <w:shd w:val="clear" w:color="auto" w:fill="FFFFFF"/>
        </w:rPr>
        <w:t>from the periphery of the primary tumour.</w:t>
      </w:r>
    </w:p>
    <w:p w14:paraId="4FE1D2D3" w14:textId="77777777" w:rsidR="00F56141" w:rsidRDefault="00F56141" w:rsidP="00F56141">
      <w:pPr>
        <w:rPr>
          <w:rFonts w:asciiTheme="majorHAnsi" w:hAnsiTheme="majorHAnsi" w:cstheme="majorHAnsi"/>
          <w:sz w:val="21"/>
          <w:szCs w:val="21"/>
        </w:rPr>
      </w:pPr>
    </w:p>
    <w:p w14:paraId="19C170BF" w14:textId="6B2BD26D" w:rsidR="006E25D4" w:rsidRDefault="006E25D4" w:rsidP="00B047F8">
      <w:pPr>
        <w:jc w:val="both"/>
        <w:rPr>
          <w:rFonts w:asciiTheme="majorHAnsi" w:hAnsiTheme="majorHAnsi" w:cstheme="majorHAnsi"/>
          <w:sz w:val="21"/>
          <w:szCs w:val="21"/>
        </w:rPr>
      </w:pPr>
      <w:r w:rsidRPr="006E25D4">
        <w:rPr>
          <w:rFonts w:asciiTheme="majorHAnsi" w:hAnsiTheme="majorHAnsi" w:cstheme="majorHAnsi"/>
          <w:sz w:val="21"/>
          <w:szCs w:val="21"/>
        </w:rPr>
        <w:t>Next-generation sequencing of ‘Poly (A) targeted’ mRNA was carried out for the clinical biopsy samples taken pre</w:t>
      </w:r>
      <w:r w:rsidR="0046041D">
        <w:rPr>
          <w:rFonts w:asciiTheme="majorHAnsi" w:hAnsiTheme="majorHAnsi" w:cstheme="majorHAnsi"/>
          <w:sz w:val="21"/>
          <w:szCs w:val="21"/>
        </w:rPr>
        <w:t>-</w:t>
      </w:r>
      <w:r w:rsidRPr="006E25D4">
        <w:rPr>
          <w:rFonts w:asciiTheme="majorHAnsi" w:hAnsiTheme="majorHAnsi" w:cstheme="majorHAnsi"/>
          <w:sz w:val="21"/>
          <w:szCs w:val="21"/>
        </w:rPr>
        <w:t xml:space="preserve"> and post-metformin. The fold change of normalised expression level, FPKM (Fragments Per Kilobase of transcript per Million mapped reads), for each gene</w:t>
      </w:r>
      <w:r w:rsidR="00B64B99">
        <w:rPr>
          <w:rFonts w:asciiTheme="majorHAnsi" w:hAnsiTheme="majorHAnsi" w:cstheme="majorHAnsi"/>
          <w:sz w:val="21"/>
          <w:szCs w:val="21"/>
        </w:rPr>
        <w:t>,</w:t>
      </w:r>
      <w:r w:rsidRPr="006E25D4">
        <w:rPr>
          <w:rFonts w:asciiTheme="majorHAnsi" w:hAnsiTheme="majorHAnsi" w:cstheme="majorHAnsi"/>
          <w:sz w:val="21"/>
          <w:szCs w:val="21"/>
        </w:rPr>
        <w:t xml:space="preserve"> was then estimated from those aligned reads using </w:t>
      </w:r>
      <w:proofErr w:type="spellStart"/>
      <w:r w:rsidRPr="006E25D4">
        <w:rPr>
          <w:rFonts w:asciiTheme="majorHAnsi" w:hAnsiTheme="majorHAnsi" w:cstheme="majorHAnsi"/>
          <w:sz w:val="21"/>
          <w:szCs w:val="21"/>
        </w:rPr>
        <w:t>Cuffdiff</w:t>
      </w:r>
      <w:proofErr w:type="spellEnd"/>
      <w:r w:rsidRPr="006E25D4">
        <w:rPr>
          <w:rFonts w:asciiTheme="majorHAnsi" w:hAnsiTheme="majorHAnsi" w:cstheme="majorHAnsi"/>
          <w:sz w:val="21"/>
          <w:szCs w:val="21"/>
        </w:rPr>
        <w:t xml:space="preserve"> 2.2.1. Non-parametric rank product (R project v3.3.1) was used to prioritise the genes with </w:t>
      </w:r>
      <w:r w:rsidR="0046041D">
        <w:rPr>
          <w:rFonts w:asciiTheme="majorHAnsi" w:hAnsiTheme="majorHAnsi" w:cstheme="majorHAnsi"/>
          <w:sz w:val="21"/>
          <w:szCs w:val="21"/>
        </w:rPr>
        <w:t xml:space="preserve">a </w:t>
      </w:r>
      <w:r w:rsidRPr="006E25D4">
        <w:rPr>
          <w:rFonts w:asciiTheme="majorHAnsi" w:hAnsiTheme="majorHAnsi" w:cstheme="majorHAnsi"/>
          <w:sz w:val="21"/>
          <w:szCs w:val="21"/>
        </w:rPr>
        <w:t>statistically significant change in abundance (FDR &lt; 0.05) between pre- and post-metformin treatment.</w:t>
      </w:r>
      <w:r w:rsidR="00B047F8">
        <w:rPr>
          <w:rFonts w:asciiTheme="majorHAnsi" w:hAnsiTheme="majorHAnsi" w:cstheme="majorHAnsi"/>
          <w:sz w:val="21"/>
          <w:szCs w:val="21"/>
        </w:rPr>
        <w:t xml:space="preserve"> </w:t>
      </w:r>
      <w:r w:rsidRPr="006E25D4">
        <w:rPr>
          <w:rFonts w:asciiTheme="majorHAnsi" w:hAnsiTheme="majorHAnsi" w:cstheme="majorHAnsi"/>
          <w:sz w:val="21"/>
          <w:szCs w:val="21"/>
        </w:rPr>
        <w:t>Methods used to estimate significance included one-way ANOVA and unpaired Student’s </w:t>
      </w:r>
      <w:r w:rsidRPr="006E25D4">
        <w:rPr>
          <w:rFonts w:asciiTheme="majorHAnsi" w:hAnsiTheme="majorHAnsi" w:cstheme="majorHAnsi"/>
          <w:i/>
          <w:iCs/>
          <w:sz w:val="21"/>
          <w:szCs w:val="21"/>
        </w:rPr>
        <w:t>t</w:t>
      </w:r>
      <w:r w:rsidRPr="006E25D4">
        <w:rPr>
          <w:rFonts w:asciiTheme="majorHAnsi" w:hAnsiTheme="majorHAnsi" w:cstheme="majorHAnsi"/>
          <w:sz w:val="21"/>
          <w:szCs w:val="21"/>
        </w:rPr>
        <w:t xml:space="preserve">-test </w:t>
      </w:r>
    </w:p>
    <w:p w14:paraId="37BBEE3E" w14:textId="77777777" w:rsidR="00B047F8" w:rsidRPr="006E25D4" w:rsidRDefault="00B047F8" w:rsidP="00B047F8">
      <w:pPr>
        <w:rPr>
          <w:rFonts w:asciiTheme="majorHAnsi" w:hAnsiTheme="majorHAnsi" w:cstheme="majorHAnsi"/>
          <w:sz w:val="21"/>
          <w:szCs w:val="21"/>
        </w:rPr>
      </w:pPr>
    </w:p>
    <w:p w14:paraId="208ED4BF" w14:textId="7B49F986" w:rsidR="00E90D1F" w:rsidRDefault="0098629D" w:rsidP="00466681">
      <w:pPr>
        <w:rPr>
          <w:rFonts w:asciiTheme="majorHAnsi" w:hAnsiTheme="majorHAnsi" w:cstheme="majorHAnsi"/>
          <w:color w:val="2E74B5" w:themeColor="accent1" w:themeShade="BF"/>
          <w:shd w:val="clear" w:color="auto" w:fill="FFFFFF"/>
        </w:rPr>
      </w:pPr>
      <w:r>
        <w:rPr>
          <w:rFonts w:asciiTheme="majorHAnsi" w:hAnsiTheme="majorHAnsi" w:cstheme="majorHAnsi"/>
          <w:color w:val="2E74B5" w:themeColor="accent1" w:themeShade="BF"/>
          <w:shd w:val="clear" w:color="auto" w:fill="FFFFFF"/>
        </w:rPr>
        <w:t>3.4</w:t>
      </w:r>
      <w:r w:rsidR="00B047F8" w:rsidRPr="00B047F8">
        <w:rPr>
          <w:rFonts w:asciiTheme="majorHAnsi" w:hAnsiTheme="majorHAnsi" w:cstheme="majorHAnsi"/>
          <w:color w:val="2E74B5" w:themeColor="accent1" w:themeShade="BF"/>
          <w:shd w:val="clear" w:color="auto" w:fill="FFFFFF"/>
        </w:rPr>
        <w:t xml:space="preserve"> Immunohistochemistry</w:t>
      </w:r>
    </w:p>
    <w:p w14:paraId="07A5C5F0" w14:textId="77777777" w:rsidR="00B047F8" w:rsidRPr="00B047F8" w:rsidRDefault="00B047F8" w:rsidP="00466681">
      <w:pPr>
        <w:rPr>
          <w:rFonts w:asciiTheme="majorHAnsi" w:hAnsiTheme="majorHAnsi" w:cstheme="majorHAnsi"/>
          <w:color w:val="2E74B5" w:themeColor="accent1" w:themeShade="BF"/>
          <w:shd w:val="clear" w:color="auto" w:fill="FFFFFF"/>
        </w:rPr>
      </w:pPr>
    </w:p>
    <w:p w14:paraId="61BCFA20" w14:textId="3BFC69A0" w:rsidR="00B047F8" w:rsidRDefault="00B047F8" w:rsidP="00EE41C8">
      <w:pPr>
        <w:pStyle w:val="NormalWeb"/>
        <w:spacing w:before="0" w:beforeAutospacing="0" w:after="0" w:afterAutospacing="0"/>
        <w:jc w:val="both"/>
        <w:rPr>
          <w:rFonts w:asciiTheme="majorHAnsi" w:eastAsia="Times New Roman" w:hAnsiTheme="majorHAnsi" w:cstheme="majorHAnsi"/>
          <w:sz w:val="21"/>
          <w:szCs w:val="21"/>
          <w:lang w:eastAsia="en-US"/>
        </w:rPr>
      </w:pPr>
      <w:r w:rsidRPr="00B047F8">
        <w:rPr>
          <w:rFonts w:asciiTheme="majorHAnsi" w:eastAsia="Times New Roman" w:hAnsiTheme="majorHAnsi" w:cstheme="majorHAnsi"/>
          <w:sz w:val="21"/>
          <w:szCs w:val="21"/>
          <w:lang w:eastAsia="en-US"/>
        </w:rPr>
        <w:t>Staining for p-AMPK (1 in 200, thr172 residue, </w:t>
      </w:r>
      <w:hyperlink r:id="rId16" w:tooltip="Learn more about Cell Signaling from ScienceDirect's AI-generated Topic Pages" w:history="1">
        <w:r w:rsidRPr="00B047F8">
          <w:rPr>
            <w:rFonts w:asciiTheme="majorHAnsi" w:eastAsia="Times New Roman" w:hAnsiTheme="majorHAnsi" w:cstheme="majorHAnsi"/>
            <w:sz w:val="21"/>
            <w:szCs w:val="21"/>
            <w:lang w:eastAsia="en-US"/>
          </w:rPr>
          <w:t xml:space="preserve">Cell </w:t>
        </w:r>
        <w:proofErr w:type="spellStart"/>
        <w:r w:rsidRPr="00B047F8">
          <w:rPr>
            <w:rFonts w:asciiTheme="majorHAnsi" w:eastAsia="Times New Roman" w:hAnsiTheme="majorHAnsi" w:cstheme="majorHAnsi"/>
            <w:sz w:val="21"/>
            <w:szCs w:val="21"/>
            <w:lang w:eastAsia="en-US"/>
          </w:rPr>
          <w:t>Signaling</w:t>
        </w:r>
        <w:proofErr w:type="spellEnd"/>
      </w:hyperlink>
      <w:r w:rsidRPr="00B047F8">
        <w:rPr>
          <w:rFonts w:asciiTheme="majorHAnsi" w:eastAsia="Times New Roman" w:hAnsiTheme="majorHAnsi" w:cstheme="majorHAnsi"/>
          <w:sz w:val="21"/>
          <w:szCs w:val="21"/>
          <w:lang w:eastAsia="en-US"/>
        </w:rPr>
        <w:t xml:space="preserve"> Technologies #2535) and </w:t>
      </w:r>
      <w:proofErr w:type="spellStart"/>
      <w:r w:rsidRPr="00B047F8">
        <w:rPr>
          <w:rFonts w:asciiTheme="majorHAnsi" w:eastAsia="Times New Roman" w:hAnsiTheme="majorHAnsi" w:cstheme="majorHAnsi"/>
          <w:sz w:val="21"/>
          <w:szCs w:val="21"/>
          <w:lang w:eastAsia="en-US"/>
        </w:rPr>
        <w:t>pAKT</w:t>
      </w:r>
      <w:proofErr w:type="spellEnd"/>
      <w:r w:rsidRPr="00B047F8">
        <w:rPr>
          <w:rFonts w:asciiTheme="majorHAnsi" w:eastAsia="Times New Roman" w:hAnsiTheme="majorHAnsi" w:cstheme="majorHAnsi"/>
          <w:sz w:val="21"/>
          <w:szCs w:val="21"/>
          <w:lang w:eastAsia="en-US"/>
        </w:rPr>
        <w:t xml:space="preserve"> (1 in 100, ser473 residue, </w:t>
      </w:r>
      <w:hyperlink r:id="rId17" w:tooltip="Learn more about Cell Signaling from ScienceDirect's AI-generated Topic Pages" w:history="1">
        <w:r w:rsidRPr="00B047F8">
          <w:rPr>
            <w:rFonts w:asciiTheme="majorHAnsi" w:eastAsia="Times New Roman" w:hAnsiTheme="majorHAnsi" w:cstheme="majorHAnsi"/>
            <w:sz w:val="21"/>
            <w:szCs w:val="21"/>
            <w:lang w:eastAsia="en-US"/>
          </w:rPr>
          <w:t xml:space="preserve">Cell </w:t>
        </w:r>
        <w:proofErr w:type="spellStart"/>
        <w:r w:rsidRPr="00B047F8">
          <w:rPr>
            <w:rFonts w:asciiTheme="majorHAnsi" w:eastAsia="Times New Roman" w:hAnsiTheme="majorHAnsi" w:cstheme="majorHAnsi"/>
            <w:sz w:val="21"/>
            <w:szCs w:val="21"/>
            <w:lang w:eastAsia="en-US"/>
          </w:rPr>
          <w:t>Signaling</w:t>
        </w:r>
        <w:proofErr w:type="spellEnd"/>
      </w:hyperlink>
      <w:r w:rsidRPr="00B047F8">
        <w:rPr>
          <w:rFonts w:asciiTheme="majorHAnsi" w:eastAsia="Times New Roman" w:hAnsiTheme="majorHAnsi" w:cstheme="majorHAnsi"/>
          <w:sz w:val="21"/>
          <w:szCs w:val="21"/>
          <w:lang w:eastAsia="en-US"/>
        </w:rPr>
        <w:t xml:space="preserve"> Technologies #4060), was performed on a Leica Bond-max </w:t>
      </w:r>
      <w:proofErr w:type="spellStart"/>
      <w:r w:rsidRPr="00B047F8">
        <w:rPr>
          <w:rFonts w:asciiTheme="majorHAnsi" w:eastAsia="Times New Roman" w:hAnsiTheme="majorHAnsi" w:cstheme="majorHAnsi"/>
          <w:sz w:val="21"/>
          <w:szCs w:val="21"/>
          <w:lang w:eastAsia="en-US"/>
        </w:rPr>
        <w:t>autostainer</w:t>
      </w:r>
      <w:proofErr w:type="spellEnd"/>
      <w:r w:rsidRPr="00B047F8">
        <w:rPr>
          <w:rFonts w:asciiTheme="majorHAnsi" w:eastAsia="Times New Roman" w:hAnsiTheme="majorHAnsi" w:cstheme="majorHAnsi"/>
          <w:sz w:val="21"/>
          <w:szCs w:val="21"/>
          <w:lang w:eastAsia="en-US"/>
        </w:rPr>
        <w:t xml:space="preserve">. </w:t>
      </w:r>
    </w:p>
    <w:p w14:paraId="5D6CFDE8" w14:textId="77777777" w:rsidR="00EE41C8" w:rsidRPr="00B047F8" w:rsidRDefault="00EE41C8" w:rsidP="00EE41C8">
      <w:pPr>
        <w:pStyle w:val="NormalWeb"/>
        <w:spacing w:before="0" w:beforeAutospacing="0" w:after="0" w:afterAutospacing="0"/>
        <w:jc w:val="both"/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</w:pPr>
    </w:p>
    <w:p w14:paraId="29D492BD" w14:textId="78A7A6C4" w:rsidR="00B047F8" w:rsidRDefault="00B047F8" w:rsidP="00EE41C8">
      <w:pPr>
        <w:pStyle w:val="NormalWeb"/>
        <w:spacing w:before="0" w:beforeAutospacing="0" w:after="0" w:afterAutospacing="0"/>
        <w:jc w:val="both"/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</w:pPr>
      <w:r w:rsidRPr="00B047F8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Quantitative scoring of the staining of complete tumour sections was evaluated by two accredited </w:t>
      </w:r>
      <w:hyperlink r:id="rId18" w:tooltip="Learn more about pathologists from ScienceDirect's AI-generated Topic Pages" w:history="1">
        <w:r w:rsidRPr="00B047F8">
          <w:rPr>
            <w:rFonts w:asciiTheme="majorHAnsi" w:eastAsia="Times New Roman" w:hAnsiTheme="majorHAnsi" w:cstheme="majorHAnsi"/>
            <w:sz w:val="21"/>
            <w:szCs w:val="21"/>
            <w:shd w:val="clear" w:color="auto" w:fill="FFFFFF"/>
            <w:lang w:eastAsia="en-US"/>
          </w:rPr>
          <w:t>pathologists</w:t>
        </w:r>
      </w:hyperlink>
      <w:r w:rsidRPr="00B047F8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 using </w:t>
      </w:r>
      <w:r w:rsidR="00B64B99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high-power</w:t>
      </w:r>
      <w:r w:rsidRPr="00B047F8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 fields the intensity of the </w:t>
      </w:r>
      <w:hyperlink r:id="rId19" w:tooltip="Learn more about immunostaining from ScienceDirect's AI-generated Topic Pages" w:history="1">
        <w:r w:rsidRPr="00B047F8">
          <w:rPr>
            <w:rFonts w:asciiTheme="majorHAnsi" w:eastAsia="Times New Roman" w:hAnsiTheme="majorHAnsi" w:cstheme="majorHAnsi"/>
            <w:sz w:val="21"/>
            <w:szCs w:val="21"/>
            <w:shd w:val="clear" w:color="auto" w:fill="FFFFFF"/>
            <w:lang w:eastAsia="en-US"/>
          </w:rPr>
          <w:t>immunostaining</w:t>
        </w:r>
      </w:hyperlink>
      <w:r w:rsidRPr="00B047F8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 was classified into 4 categories: 0, no immunostaining present; 1, weak staining; 2, moderate staining; and 3, strong staining and the percentage of positive cells at each intensity was then classified into 4 groups; 1 (0-10% positive cells), 2 (11% to 50% positive cells), 3 (51% to 80% positive cells) or 4 (81 to 100% positive cells). The H-score of </w:t>
      </w:r>
      <w:hyperlink r:id="rId20" w:tooltip="Learn more about immunoreactivity from ScienceDirect's AI-generated Topic Pages" w:history="1">
        <w:r w:rsidRPr="00B047F8">
          <w:rPr>
            <w:rFonts w:asciiTheme="majorHAnsi" w:eastAsia="Times New Roman" w:hAnsiTheme="majorHAnsi" w:cstheme="majorHAnsi"/>
            <w:sz w:val="21"/>
            <w:szCs w:val="21"/>
            <w:shd w:val="clear" w:color="auto" w:fill="FFFFFF"/>
            <w:lang w:eastAsia="en-US"/>
          </w:rPr>
          <w:t>immunoreactivity</w:t>
        </w:r>
      </w:hyperlink>
      <w:r w:rsidRPr="00B047F8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 was obtained by multiplying the intensity and percentage scores.</w:t>
      </w:r>
    </w:p>
    <w:p w14:paraId="25A2AE98" w14:textId="7B531592" w:rsidR="00EE41C8" w:rsidRDefault="00EE41C8" w:rsidP="00EE41C8">
      <w:pPr>
        <w:pStyle w:val="NormalWeb"/>
        <w:spacing w:before="0" w:beforeAutospacing="0" w:after="0" w:afterAutospacing="0"/>
        <w:jc w:val="both"/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</w:pPr>
    </w:p>
    <w:p w14:paraId="3D6F726F" w14:textId="2183B212" w:rsidR="00EE41C8" w:rsidRDefault="00EE41C8" w:rsidP="00EE41C8">
      <w:pPr>
        <w:rPr>
          <w:rFonts w:asciiTheme="majorHAnsi" w:hAnsiTheme="majorHAnsi" w:cstheme="majorHAnsi"/>
          <w:color w:val="2E74B5" w:themeColor="accent1" w:themeShade="BF"/>
          <w:shd w:val="clear" w:color="auto" w:fill="FFFFFF"/>
        </w:rPr>
      </w:pPr>
      <w:r w:rsidRPr="00EE41C8">
        <w:rPr>
          <w:rFonts w:asciiTheme="majorHAnsi" w:hAnsiTheme="majorHAnsi" w:cstheme="majorHAnsi"/>
          <w:color w:val="2E74B5" w:themeColor="accent1" w:themeShade="BF"/>
          <w:shd w:val="clear" w:color="auto" w:fill="FFFFFF"/>
        </w:rPr>
        <w:t>3.5 Pet-CT</w:t>
      </w:r>
    </w:p>
    <w:p w14:paraId="5453310F" w14:textId="168DE218" w:rsidR="00EE41C8" w:rsidRPr="003B3A9D" w:rsidRDefault="00EE41C8" w:rsidP="00EE41C8">
      <w:pPr>
        <w:jc w:val="both"/>
        <w:rPr>
          <w:rFonts w:asciiTheme="majorHAnsi" w:hAnsiTheme="majorHAnsi" w:cstheme="majorHAnsi"/>
          <w:shd w:val="clear" w:color="auto" w:fill="FFFFFF"/>
        </w:rPr>
      </w:pPr>
    </w:p>
    <w:p w14:paraId="1D2118D1" w14:textId="2D47C4CC" w:rsidR="00EE41C8" w:rsidRPr="003B3A9D" w:rsidRDefault="00EE41C8" w:rsidP="00EE41C8">
      <w:pPr>
        <w:pStyle w:val="NormalWeb"/>
        <w:spacing w:before="0" w:beforeAutospacing="0" w:after="0" w:afterAutospacing="0"/>
        <w:jc w:val="both"/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</w:pPr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The </w:t>
      </w:r>
      <w:hyperlink r:id="rId21" w:tooltip="Learn more about radiotracer from ScienceDirect's AI-generated Topic Pages" w:history="1">
        <w:r w:rsidRPr="003B3A9D">
          <w:rPr>
            <w:rFonts w:asciiTheme="majorHAnsi" w:eastAsia="Times New Roman" w:hAnsiTheme="majorHAnsi" w:cstheme="majorHAnsi"/>
            <w:sz w:val="21"/>
            <w:szCs w:val="21"/>
            <w:shd w:val="clear" w:color="auto" w:fill="FFFFFF"/>
            <w:lang w:eastAsia="en-US"/>
          </w:rPr>
          <w:t>radiotracer</w:t>
        </w:r>
      </w:hyperlink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, 2-deoxy-2-(18F)</w:t>
      </w:r>
      <w:proofErr w:type="spellStart"/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fluoro</w:t>
      </w:r>
      <w:proofErr w:type="spellEnd"/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-D-glucose (18[F]-FDG), was used for all examinations. </w:t>
      </w:r>
      <w:r w:rsidR="00B64B99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Before</w:t>
      </w:r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 scanning, patients were fasted overnight for at least 8 hours but could drink water. Patients’ </w:t>
      </w:r>
      <w:hyperlink r:id="rId22" w:tooltip="Learn more about blood glucose from ScienceDirect's AI-generated Topic Pages" w:history="1">
        <w:r w:rsidRPr="003B3A9D">
          <w:rPr>
            <w:rFonts w:asciiTheme="majorHAnsi" w:eastAsia="Times New Roman" w:hAnsiTheme="majorHAnsi" w:cstheme="majorHAnsi"/>
            <w:sz w:val="21"/>
            <w:szCs w:val="21"/>
            <w:shd w:val="clear" w:color="auto" w:fill="FFFFFF"/>
            <w:lang w:eastAsia="en-US"/>
          </w:rPr>
          <w:t>blood glucose</w:t>
        </w:r>
      </w:hyperlink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 was checked just prior to the scan with a portable </w:t>
      </w:r>
      <w:hyperlink r:id="rId23" w:tooltip="Learn more about blood glucose from ScienceDirect's AI-generated Topic Pages" w:history="1">
        <w:r w:rsidRPr="003B3A9D">
          <w:rPr>
            <w:rFonts w:asciiTheme="majorHAnsi" w:eastAsia="Times New Roman" w:hAnsiTheme="majorHAnsi" w:cstheme="majorHAnsi"/>
            <w:sz w:val="21"/>
            <w:szCs w:val="21"/>
            <w:shd w:val="clear" w:color="auto" w:fill="FFFFFF"/>
            <w:lang w:eastAsia="en-US"/>
          </w:rPr>
          <w:t>blood glucose</w:t>
        </w:r>
      </w:hyperlink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 monitor to ensure it was &lt;7mmol/L. All scans took place on either a 3D mode time of flight GE Discovery 690 64-slice PET-CT system (GE Healthcare, Milwaukee) or Siemens Biograph mCT-128 (Siemens Healthcare, Germany).</w:t>
      </w:r>
    </w:p>
    <w:p w14:paraId="19C1C08D" w14:textId="77777777" w:rsidR="00EE41C8" w:rsidRPr="003B3A9D" w:rsidRDefault="00EE41C8" w:rsidP="00EE41C8">
      <w:pPr>
        <w:pStyle w:val="NormalWeb"/>
        <w:spacing w:before="0" w:beforeAutospacing="0" w:after="0" w:afterAutospacing="0"/>
        <w:jc w:val="both"/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</w:pPr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A dynamic acquisition of the breast tumour (and any lymph nodes within the PET field of view) was initiated with the patient imaged supine. Patients were injected with 18[F]-FDG (3 MBq/kg, up to a maximum of 400 MBq) 30 seconds into PET imaging, which continued for 45 minutes. The 45 minutes of data were then reconstructed as a sequence of images describing average activity concentrations during a series of time frames (1x30s, 12x5s, 6x10s, 5x30s, 10x60s, 6x300s).</w:t>
      </w:r>
    </w:p>
    <w:p w14:paraId="3904A4A9" w14:textId="77777777" w:rsidR="00EE41C8" w:rsidRPr="003B3A9D" w:rsidRDefault="00EE41C8" w:rsidP="00EE41C8">
      <w:pPr>
        <w:pStyle w:val="NormalWeb"/>
        <w:spacing w:before="0" w:beforeAutospacing="0" w:after="0" w:afterAutospacing="0"/>
        <w:jc w:val="both"/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</w:pPr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50 minutes after injection, a static </w:t>
      </w:r>
      <w:hyperlink r:id="rId24" w:tooltip="Learn more about PET scan from ScienceDirect's AI-generated Topic Pages" w:history="1">
        <w:r w:rsidRPr="003B3A9D">
          <w:rPr>
            <w:rFonts w:asciiTheme="majorHAnsi" w:eastAsia="Times New Roman" w:hAnsiTheme="majorHAnsi" w:cstheme="majorHAnsi"/>
            <w:sz w:val="21"/>
            <w:szCs w:val="21"/>
            <w:shd w:val="clear" w:color="auto" w:fill="FFFFFF"/>
            <w:lang w:eastAsia="en-US"/>
          </w:rPr>
          <w:t>PET scan</w:t>
        </w:r>
      </w:hyperlink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 was performed from </w:t>
      </w:r>
      <w:hyperlink r:id="rId25" w:tooltip="Learn more about skull base from ScienceDirect's AI-generated Topic Pages" w:history="1">
        <w:r w:rsidRPr="003B3A9D">
          <w:rPr>
            <w:rFonts w:asciiTheme="majorHAnsi" w:eastAsia="Times New Roman" w:hAnsiTheme="majorHAnsi" w:cstheme="majorHAnsi"/>
            <w:sz w:val="21"/>
            <w:szCs w:val="21"/>
            <w:shd w:val="clear" w:color="auto" w:fill="FFFFFF"/>
            <w:lang w:eastAsia="en-US"/>
          </w:rPr>
          <w:t>skull base</w:t>
        </w:r>
      </w:hyperlink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 to mid-thigh, acquiring data for four minutes at each bed </w:t>
      </w:r>
      <w:hyperlink r:id="rId26" w:tooltip="Learn more about position from ScienceDirect's AI-generated Topic Pages" w:history="1">
        <w:r w:rsidRPr="003B3A9D">
          <w:rPr>
            <w:rFonts w:asciiTheme="majorHAnsi" w:eastAsia="Times New Roman" w:hAnsiTheme="majorHAnsi" w:cstheme="majorHAnsi"/>
            <w:sz w:val="21"/>
            <w:szCs w:val="21"/>
            <w:shd w:val="clear" w:color="auto" w:fill="FFFFFF"/>
            <w:lang w:eastAsia="en-US"/>
          </w:rPr>
          <w:t>position</w:t>
        </w:r>
      </w:hyperlink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. </w:t>
      </w:r>
      <w:proofErr w:type="gramStart"/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Thus</w:t>
      </w:r>
      <w:proofErr w:type="gramEnd"/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 the primary breast cancer was scanned at approximately 60 minutes post injection, in addition to the dynamic PET scanning from 0-45 minutes. Prior to each PET acquisition a CT scan was performed for localization and PET attenuation correction, using a pitch of 0.984, 120 kV, </w:t>
      </w:r>
      <w:proofErr w:type="spellStart"/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automA</w:t>
      </w:r>
      <w:proofErr w:type="spellEnd"/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 with a noise index of 25.</w:t>
      </w:r>
    </w:p>
    <w:p w14:paraId="022DAD28" w14:textId="77777777" w:rsidR="00EE41C8" w:rsidRPr="003B3A9D" w:rsidRDefault="00EE41C8" w:rsidP="00EE41C8">
      <w:pPr>
        <w:pStyle w:val="NormalWeb"/>
        <w:spacing w:before="0" w:beforeAutospacing="0" w:after="0" w:afterAutospacing="0"/>
        <w:jc w:val="both"/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</w:pPr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The PET images were reconstructed on a matrix of 5.5×5.5×3.3 mm3 voxels using filtered back projection for the dynamic sequence, and iterative reconstruction for the static scan. See </w:t>
      </w:r>
      <w:bookmarkStart w:id="11" w:name="bapp2"/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fldChar w:fldCharType="begin"/>
      </w:r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instrText xml:space="preserve"> HYPERLINK "https://www.sciencedirect.com/science/article/pii/S1550413118305229?via%3Dihub" \l "app2" </w:instrText>
      </w:r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fldChar w:fldCharType="separate"/>
      </w:r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Supplemental Information</w:t>
      </w:r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fldChar w:fldCharType="end"/>
      </w:r>
      <w:bookmarkEnd w:id="11"/>
      <w:r w:rsidRPr="003B3A9D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 for further details of static and kinetic analysis of imaging.</w:t>
      </w:r>
    </w:p>
    <w:p w14:paraId="5C277DCC" w14:textId="77777777" w:rsidR="00EE41C8" w:rsidRPr="00EE41C8" w:rsidRDefault="00EE41C8" w:rsidP="00EE41C8">
      <w:pPr>
        <w:rPr>
          <w:rFonts w:asciiTheme="majorHAnsi" w:hAnsiTheme="majorHAnsi" w:cstheme="majorHAnsi"/>
          <w:color w:val="2E74B5" w:themeColor="accent1" w:themeShade="BF"/>
          <w:shd w:val="clear" w:color="auto" w:fill="FFFFFF"/>
        </w:rPr>
      </w:pPr>
    </w:p>
    <w:p w14:paraId="269DDA7C" w14:textId="279F6E48" w:rsidR="005A089F" w:rsidRDefault="005A089F" w:rsidP="007925CF">
      <w:pPr>
        <w:pStyle w:val="Heading1"/>
        <w:ind w:left="426"/>
        <w:rPr>
          <w:rFonts w:asciiTheme="minorHAnsi" w:hAnsiTheme="minorHAnsi" w:cstheme="minorHAnsi"/>
        </w:rPr>
      </w:pPr>
      <w:bookmarkStart w:id="12" w:name="_Ref2853421"/>
      <w:bookmarkStart w:id="13" w:name="_Toc161327341"/>
      <w:r w:rsidRPr="00983510">
        <w:rPr>
          <w:rFonts w:asciiTheme="minorHAnsi" w:hAnsiTheme="minorHAnsi" w:cstheme="minorHAnsi"/>
        </w:rPr>
        <w:t xml:space="preserve">Data </w:t>
      </w:r>
      <w:r w:rsidR="005D1110" w:rsidRPr="00983510">
        <w:rPr>
          <w:rFonts w:asciiTheme="minorHAnsi" w:hAnsiTheme="minorHAnsi" w:cstheme="minorHAnsi"/>
        </w:rPr>
        <w:t>QC</w:t>
      </w:r>
      <w:bookmarkEnd w:id="12"/>
      <w:bookmarkEnd w:id="13"/>
    </w:p>
    <w:p w14:paraId="2A56907B" w14:textId="6BAD574B" w:rsidR="00B14DE8" w:rsidRPr="00B14DE8" w:rsidRDefault="00B14DE8" w:rsidP="00B14DE8">
      <w:pPr>
        <w:pStyle w:val="NormalWeb"/>
        <w:spacing w:before="0" w:beforeAutospacing="0" w:after="0" w:afterAutospacing="0"/>
        <w:jc w:val="both"/>
      </w:pPr>
      <w:r w:rsidRPr="00B14DE8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Data quality </w:t>
      </w:r>
      <w:r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>has been</w:t>
      </w:r>
      <w:r w:rsidRPr="00B14DE8">
        <w:rPr>
          <w:rFonts w:asciiTheme="majorHAnsi" w:eastAsia="Times New Roman" w:hAnsiTheme="majorHAnsi" w:cstheme="majorHAnsi"/>
          <w:sz w:val="21"/>
          <w:szCs w:val="21"/>
          <w:shd w:val="clear" w:color="auto" w:fill="FFFFFF"/>
          <w:lang w:eastAsia="en-US"/>
        </w:rPr>
        <w:t xml:space="preserve"> checked using Rosner's generalized extreme Studentized deviate test as well as by graphical presentations.</w:t>
      </w:r>
    </w:p>
    <w:p w14:paraId="7140CB5A" w14:textId="04F13E18" w:rsidR="003C7FEA" w:rsidRDefault="003C7FEA" w:rsidP="003C7FEA"/>
    <w:p w14:paraId="0489B867" w14:textId="0F12BC17" w:rsidR="00E72795" w:rsidRDefault="00E72795" w:rsidP="00E72795">
      <w:pPr>
        <w:pStyle w:val="Heading1"/>
        <w:ind w:left="426"/>
        <w:rPr>
          <w:rFonts w:asciiTheme="minorHAnsi" w:hAnsiTheme="minorHAnsi" w:cstheme="minorHAnsi"/>
        </w:rPr>
      </w:pPr>
      <w:bookmarkStart w:id="14" w:name="_Toc161327342"/>
      <w:r w:rsidRPr="00983510">
        <w:rPr>
          <w:rFonts w:asciiTheme="minorHAnsi" w:hAnsiTheme="minorHAnsi" w:cstheme="minorHAnsi"/>
        </w:rPr>
        <w:t>References</w:t>
      </w:r>
      <w:bookmarkEnd w:id="14"/>
    </w:p>
    <w:p w14:paraId="2E05DA38" w14:textId="0EFB5700" w:rsidR="00EF180F" w:rsidRDefault="00EF180F" w:rsidP="00EF180F"/>
    <w:p w14:paraId="764F2CD2" w14:textId="28E1D546" w:rsidR="00182F00" w:rsidRDefault="00182F00" w:rsidP="00EF180F">
      <w:pPr>
        <w:rPr>
          <w:rFonts w:asciiTheme="majorHAnsi" w:hAnsiTheme="majorHAnsi" w:cstheme="majorHAnsi"/>
          <w:sz w:val="21"/>
          <w:szCs w:val="21"/>
          <w:shd w:val="clear" w:color="auto" w:fill="FFFFFF"/>
        </w:rPr>
      </w:pPr>
      <w:r w:rsidRPr="00E95CDA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Lord SR, Cheng WC, Liu D, et al. Integrated Pharmacodynamic Analysis Identifies Two Metabolic Adaption Pathways to Metformin in Breast Cancer. Cell </w:t>
      </w:r>
      <w:proofErr w:type="spellStart"/>
      <w:r w:rsidRPr="00E95CDA">
        <w:rPr>
          <w:rFonts w:asciiTheme="majorHAnsi" w:hAnsiTheme="majorHAnsi" w:cstheme="majorHAnsi"/>
          <w:sz w:val="21"/>
          <w:szCs w:val="21"/>
          <w:shd w:val="clear" w:color="auto" w:fill="FFFFFF"/>
        </w:rPr>
        <w:t>Metab</w:t>
      </w:r>
      <w:proofErr w:type="spellEnd"/>
      <w:r w:rsidRPr="00E95CDA">
        <w:rPr>
          <w:rFonts w:asciiTheme="majorHAnsi" w:hAnsiTheme="majorHAnsi" w:cstheme="majorHAnsi"/>
          <w:sz w:val="21"/>
          <w:szCs w:val="21"/>
          <w:shd w:val="clear" w:color="auto" w:fill="FFFFFF"/>
        </w:rPr>
        <w:t>. 2018;28(5)</w:t>
      </w:r>
    </w:p>
    <w:p w14:paraId="40BF8BE2" w14:textId="77777777" w:rsidR="00182F00" w:rsidRDefault="00182F00" w:rsidP="00EF180F">
      <w:pPr>
        <w:rPr>
          <w:rFonts w:asciiTheme="majorHAnsi" w:hAnsiTheme="majorHAnsi" w:cstheme="majorHAnsi"/>
          <w:sz w:val="21"/>
          <w:szCs w:val="21"/>
          <w:shd w:val="clear" w:color="auto" w:fill="FFFFFF"/>
        </w:rPr>
      </w:pPr>
    </w:p>
    <w:p w14:paraId="5B4551FF" w14:textId="7ABFA921" w:rsidR="006E25D4" w:rsidRPr="006E25D4" w:rsidRDefault="006E25D4" w:rsidP="00EF180F">
      <w:pPr>
        <w:rPr>
          <w:rFonts w:asciiTheme="majorHAnsi" w:hAnsiTheme="majorHAnsi" w:cstheme="majorHAnsi"/>
          <w:sz w:val="21"/>
          <w:szCs w:val="21"/>
          <w:shd w:val="clear" w:color="auto" w:fill="FFFFFF"/>
        </w:rPr>
      </w:pPr>
      <w:r w:rsidRPr="006E25D4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Lord SR, Collins JM, Cheng WC, Haider S, </w:t>
      </w:r>
      <w:proofErr w:type="spellStart"/>
      <w:r w:rsidRPr="006E25D4">
        <w:rPr>
          <w:rFonts w:asciiTheme="majorHAnsi" w:hAnsiTheme="majorHAnsi" w:cstheme="majorHAnsi"/>
          <w:sz w:val="21"/>
          <w:szCs w:val="21"/>
          <w:shd w:val="clear" w:color="auto" w:fill="FFFFFF"/>
        </w:rPr>
        <w:t>Wigfield</w:t>
      </w:r>
      <w:proofErr w:type="spellEnd"/>
      <w:r w:rsidRPr="006E25D4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 S, </w:t>
      </w:r>
      <w:proofErr w:type="spellStart"/>
      <w:r w:rsidRPr="006E25D4">
        <w:rPr>
          <w:rFonts w:asciiTheme="majorHAnsi" w:hAnsiTheme="majorHAnsi" w:cstheme="majorHAnsi"/>
          <w:sz w:val="21"/>
          <w:szCs w:val="21"/>
          <w:shd w:val="clear" w:color="auto" w:fill="FFFFFF"/>
        </w:rPr>
        <w:t>Gaude</w:t>
      </w:r>
      <w:proofErr w:type="spellEnd"/>
      <w:r w:rsidRPr="006E25D4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 E, Fielding BA, </w:t>
      </w:r>
      <w:proofErr w:type="spellStart"/>
      <w:r w:rsidRPr="006E25D4">
        <w:rPr>
          <w:rFonts w:asciiTheme="majorHAnsi" w:hAnsiTheme="majorHAnsi" w:cstheme="majorHAnsi"/>
          <w:sz w:val="21"/>
          <w:szCs w:val="21"/>
          <w:shd w:val="clear" w:color="auto" w:fill="FFFFFF"/>
        </w:rPr>
        <w:t>Pinnick</w:t>
      </w:r>
      <w:proofErr w:type="spellEnd"/>
      <w:r w:rsidRPr="006E25D4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 KE, Harjes U, </w:t>
      </w:r>
      <w:proofErr w:type="spellStart"/>
      <w:r w:rsidRPr="006E25D4">
        <w:rPr>
          <w:rFonts w:asciiTheme="majorHAnsi" w:hAnsiTheme="majorHAnsi" w:cstheme="majorHAnsi"/>
          <w:sz w:val="21"/>
          <w:szCs w:val="21"/>
          <w:shd w:val="clear" w:color="auto" w:fill="FFFFFF"/>
        </w:rPr>
        <w:t>Segaran</w:t>
      </w:r>
      <w:proofErr w:type="spellEnd"/>
      <w:r w:rsidRPr="006E25D4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 A, Jha P, </w:t>
      </w:r>
      <w:proofErr w:type="spellStart"/>
      <w:r w:rsidRPr="006E25D4">
        <w:rPr>
          <w:rFonts w:asciiTheme="majorHAnsi" w:hAnsiTheme="majorHAnsi" w:cstheme="majorHAnsi"/>
          <w:sz w:val="21"/>
          <w:szCs w:val="21"/>
          <w:shd w:val="clear" w:color="auto" w:fill="FFFFFF"/>
        </w:rPr>
        <w:t>Hoefler</w:t>
      </w:r>
      <w:proofErr w:type="spellEnd"/>
      <w:r w:rsidRPr="006E25D4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 G, Pollak MN, Thompson AM, Roy PG, English R, Adams RF, </w:t>
      </w:r>
      <w:proofErr w:type="spellStart"/>
      <w:r w:rsidRPr="006E25D4">
        <w:rPr>
          <w:rFonts w:asciiTheme="majorHAnsi" w:hAnsiTheme="majorHAnsi" w:cstheme="majorHAnsi"/>
          <w:sz w:val="21"/>
          <w:szCs w:val="21"/>
          <w:shd w:val="clear" w:color="auto" w:fill="FFFFFF"/>
        </w:rPr>
        <w:t>Frezza</w:t>
      </w:r>
      <w:proofErr w:type="spellEnd"/>
      <w:r w:rsidRPr="006E25D4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 C, Buffa FM, </w:t>
      </w:r>
      <w:proofErr w:type="spellStart"/>
      <w:r w:rsidRPr="006E25D4">
        <w:rPr>
          <w:rFonts w:asciiTheme="majorHAnsi" w:hAnsiTheme="majorHAnsi" w:cstheme="majorHAnsi"/>
          <w:sz w:val="21"/>
          <w:szCs w:val="21"/>
          <w:shd w:val="clear" w:color="auto" w:fill="FFFFFF"/>
        </w:rPr>
        <w:t>Karpe</w:t>
      </w:r>
      <w:proofErr w:type="spellEnd"/>
      <w:r w:rsidRPr="006E25D4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 F, Harris AL. Transcriptomic analysis of human primary breast cancer identifies fatty acid oxidation as a target for metformin. Br J Cancer. 2020 Jan;122(2):258-265. </w:t>
      </w:r>
    </w:p>
    <w:sectPr w:rsidR="006E25D4" w:rsidRPr="006E25D4" w:rsidSect="00A40202">
      <w:headerReference w:type="default" r:id="rId2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3D048" w14:textId="77777777" w:rsidR="00495322" w:rsidRDefault="00495322" w:rsidP="00F90D99">
      <w:r>
        <w:separator/>
      </w:r>
    </w:p>
  </w:endnote>
  <w:endnote w:type="continuationSeparator" w:id="0">
    <w:p w14:paraId="4C47A21E" w14:textId="77777777" w:rsidR="00495322" w:rsidRDefault="00495322" w:rsidP="00F9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86B75" w14:textId="77777777" w:rsidR="00495322" w:rsidRDefault="00495322" w:rsidP="00F90D99">
      <w:r>
        <w:separator/>
      </w:r>
    </w:p>
  </w:footnote>
  <w:footnote w:type="continuationSeparator" w:id="0">
    <w:p w14:paraId="663CCA65" w14:textId="77777777" w:rsidR="00495322" w:rsidRDefault="00495322" w:rsidP="00F9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page" w:tblpX="4870" w:tblpY="22"/>
      <w:tblW w:w="0" w:type="auto"/>
      <w:tblLook w:val="04A0" w:firstRow="1" w:lastRow="0" w:firstColumn="1" w:lastColumn="0" w:noHBand="0" w:noVBand="1"/>
    </w:tblPr>
    <w:tblGrid>
      <w:gridCol w:w="1132"/>
      <w:gridCol w:w="573"/>
      <w:gridCol w:w="953"/>
      <w:gridCol w:w="1564"/>
      <w:gridCol w:w="1878"/>
    </w:tblGrid>
    <w:tr w:rsidR="005355A6" w:rsidRPr="000336AE" w14:paraId="43FAC80C" w14:textId="77777777" w:rsidTr="005C66F3">
      <w:trPr>
        <w:trHeight w:val="326"/>
      </w:trPr>
      <w:tc>
        <w:tcPr>
          <w:tcW w:w="1705" w:type="dxa"/>
          <w:gridSpan w:val="2"/>
        </w:tcPr>
        <w:p w14:paraId="56A3E2A9" w14:textId="77777777" w:rsidR="005355A6" w:rsidRPr="000336AE" w:rsidRDefault="005355A6" w:rsidP="00145937">
          <w:pPr>
            <w:pStyle w:val="Header"/>
            <w:rPr>
              <w:sz w:val="22"/>
              <w:szCs w:val="22"/>
            </w:rPr>
          </w:pPr>
          <w:r w:rsidRPr="000336AE">
            <w:rPr>
              <w:sz w:val="22"/>
              <w:szCs w:val="22"/>
            </w:rPr>
            <w:t>Document Title</w:t>
          </w:r>
        </w:p>
      </w:tc>
      <w:tc>
        <w:tcPr>
          <w:tcW w:w="4395" w:type="dxa"/>
          <w:gridSpan w:val="3"/>
          <w:vAlign w:val="center"/>
        </w:tcPr>
        <w:p w14:paraId="683B3F5D" w14:textId="3115F6C9" w:rsidR="005355A6" w:rsidRPr="000336AE" w:rsidRDefault="00E20649" w:rsidP="005C66F3">
          <w:pPr>
            <w:pStyle w:val="Header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METFORMIN</w:t>
          </w:r>
          <w:r w:rsidR="005355A6" w:rsidRPr="000336AE">
            <w:rPr>
              <w:sz w:val="22"/>
              <w:szCs w:val="22"/>
            </w:rPr>
            <w:t xml:space="preserve"> Data Index</w:t>
          </w:r>
        </w:p>
      </w:tc>
    </w:tr>
    <w:tr w:rsidR="005355A6" w:rsidRPr="000336AE" w14:paraId="225D7C46" w14:textId="77777777" w:rsidTr="00AC7F8A">
      <w:tc>
        <w:tcPr>
          <w:tcW w:w="1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06D95878" w14:textId="77777777" w:rsidR="005355A6" w:rsidRPr="000336AE" w:rsidRDefault="005355A6" w:rsidP="00145937">
          <w:pPr>
            <w:pStyle w:val="Header"/>
            <w:rPr>
              <w:sz w:val="22"/>
              <w:szCs w:val="22"/>
            </w:rPr>
          </w:pPr>
          <w:r w:rsidRPr="000336AE">
            <w:rPr>
              <w:sz w:val="22"/>
              <w:szCs w:val="22"/>
            </w:rPr>
            <w:t>Version:</w:t>
          </w:r>
        </w:p>
      </w:tc>
      <w:tc>
        <w:tcPr>
          <w:tcW w:w="57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B239A7B" w14:textId="4E36B725" w:rsidR="005355A6" w:rsidRPr="000336AE" w:rsidRDefault="005355A6" w:rsidP="00145937">
          <w:pPr>
            <w:pStyle w:val="Header"/>
            <w:rPr>
              <w:sz w:val="22"/>
              <w:szCs w:val="22"/>
            </w:rPr>
          </w:pPr>
          <w:r w:rsidRPr="000336AE">
            <w:rPr>
              <w:sz w:val="22"/>
              <w:szCs w:val="22"/>
            </w:rPr>
            <w:t>1.</w:t>
          </w:r>
          <w:r w:rsidR="00F067A9">
            <w:rPr>
              <w:sz w:val="22"/>
              <w:szCs w:val="22"/>
            </w:rPr>
            <w:t>0</w:t>
          </w:r>
        </w:p>
      </w:tc>
      <w:tc>
        <w:tcPr>
          <w:tcW w:w="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7FEA44EF" w14:textId="77777777" w:rsidR="005355A6" w:rsidRPr="000336AE" w:rsidRDefault="005355A6" w:rsidP="00145937">
          <w:pPr>
            <w:pStyle w:val="Header"/>
            <w:rPr>
              <w:sz w:val="22"/>
              <w:szCs w:val="22"/>
            </w:rPr>
          </w:pPr>
          <w:r w:rsidRPr="000336AE">
            <w:rPr>
              <w:sz w:val="22"/>
              <w:szCs w:val="22"/>
            </w:rPr>
            <w:t xml:space="preserve">Date </w:t>
          </w:r>
        </w:p>
      </w:tc>
      <w:tc>
        <w:tcPr>
          <w:tcW w:w="15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9638660" w14:textId="5B8E82DB" w:rsidR="005355A6" w:rsidRPr="000336AE" w:rsidRDefault="005355A6" w:rsidP="00145937">
          <w:pPr>
            <w:pStyle w:val="Header"/>
            <w:rPr>
              <w:sz w:val="22"/>
              <w:szCs w:val="22"/>
            </w:rPr>
          </w:pPr>
        </w:p>
      </w:tc>
      <w:tc>
        <w:tcPr>
          <w:tcW w:w="1878" w:type="dxa"/>
          <w:tcBorders>
            <w:left w:val="single" w:sz="4" w:space="0" w:color="auto"/>
          </w:tcBorders>
        </w:tcPr>
        <w:p w14:paraId="5A26ECF6" w14:textId="284E5498" w:rsidR="005355A6" w:rsidRPr="000336AE" w:rsidRDefault="005355A6" w:rsidP="00145937">
          <w:pPr>
            <w:pStyle w:val="Header"/>
            <w:rPr>
              <w:sz w:val="22"/>
              <w:szCs w:val="22"/>
            </w:rPr>
          </w:pPr>
          <w:r w:rsidRPr="000336AE">
            <w:rPr>
              <w:sz w:val="22"/>
              <w:szCs w:val="22"/>
            </w:rPr>
            <w:t xml:space="preserve">Page </w:t>
          </w:r>
          <w:r w:rsidRPr="000336AE">
            <w:rPr>
              <w:sz w:val="22"/>
              <w:szCs w:val="22"/>
            </w:rPr>
            <w:fldChar w:fldCharType="begin"/>
          </w:r>
          <w:r w:rsidRPr="000336AE">
            <w:rPr>
              <w:sz w:val="22"/>
              <w:szCs w:val="22"/>
            </w:rPr>
            <w:instrText xml:space="preserve"> PAGE </w:instrText>
          </w:r>
          <w:r w:rsidRPr="000336AE">
            <w:rPr>
              <w:sz w:val="22"/>
              <w:szCs w:val="22"/>
            </w:rPr>
            <w:fldChar w:fldCharType="separate"/>
          </w:r>
          <w:r w:rsidR="004C5AF5" w:rsidRPr="000336AE">
            <w:rPr>
              <w:noProof/>
              <w:sz w:val="22"/>
              <w:szCs w:val="22"/>
            </w:rPr>
            <w:t>7</w:t>
          </w:r>
          <w:r w:rsidRPr="000336AE">
            <w:rPr>
              <w:sz w:val="22"/>
              <w:szCs w:val="22"/>
            </w:rPr>
            <w:fldChar w:fldCharType="end"/>
          </w:r>
          <w:r w:rsidRPr="000336AE">
            <w:rPr>
              <w:sz w:val="22"/>
              <w:szCs w:val="22"/>
            </w:rPr>
            <w:t xml:space="preserve"> of </w:t>
          </w:r>
          <w:r w:rsidRPr="000336AE">
            <w:rPr>
              <w:sz w:val="22"/>
              <w:szCs w:val="22"/>
            </w:rPr>
            <w:fldChar w:fldCharType="begin"/>
          </w:r>
          <w:r w:rsidRPr="000336AE">
            <w:rPr>
              <w:sz w:val="22"/>
              <w:szCs w:val="22"/>
            </w:rPr>
            <w:instrText xml:space="preserve"> NUMPAGES </w:instrText>
          </w:r>
          <w:r w:rsidRPr="000336AE">
            <w:rPr>
              <w:sz w:val="22"/>
              <w:szCs w:val="22"/>
            </w:rPr>
            <w:fldChar w:fldCharType="separate"/>
          </w:r>
          <w:r w:rsidR="004C5AF5" w:rsidRPr="000336AE">
            <w:rPr>
              <w:noProof/>
              <w:sz w:val="22"/>
              <w:szCs w:val="22"/>
            </w:rPr>
            <w:t>30</w:t>
          </w:r>
          <w:r w:rsidRPr="000336AE">
            <w:rPr>
              <w:sz w:val="22"/>
              <w:szCs w:val="22"/>
            </w:rPr>
            <w:fldChar w:fldCharType="end"/>
          </w:r>
        </w:p>
      </w:tc>
    </w:tr>
  </w:tbl>
  <w:p w14:paraId="77755A46" w14:textId="6CA044F3" w:rsidR="005355A6" w:rsidRDefault="00535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889"/>
    <w:multiLevelType w:val="hybridMultilevel"/>
    <w:tmpl w:val="2E4A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1352"/>
    <w:multiLevelType w:val="multilevel"/>
    <w:tmpl w:val="DA78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C7DEF"/>
    <w:multiLevelType w:val="hybridMultilevel"/>
    <w:tmpl w:val="277C1FA4"/>
    <w:lvl w:ilvl="0" w:tplc="810C3442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23E6"/>
    <w:multiLevelType w:val="hybridMultilevel"/>
    <w:tmpl w:val="CBA8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4AC3"/>
    <w:multiLevelType w:val="multilevel"/>
    <w:tmpl w:val="C148A2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-5661" w:hanging="576"/>
      </w:pPr>
    </w:lvl>
    <w:lvl w:ilvl="2">
      <w:start w:val="1"/>
      <w:numFmt w:val="decimal"/>
      <w:pStyle w:val="Heading3"/>
      <w:lvlText w:val="%1.%2.%3"/>
      <w:lvlJc w:val="left"/>
      <w:pPr>
        <w:ind w:left="-5517" w:hanging="720"/>
      </w:pPr>
    </w:lvl>
    <w:lvl w:ilvl="3">
      <w:start w:val="1"/>
      <w:numFmt w:val="decimal"/>
      <w:pStyle w:val="Heading4"/>
      <w:lvlText w:val="%1.%2.%3.%4"/>
      <w:lvlJc w:val="left"/>
      <w:pPr>
        <w:ind w:left="-5373" w:hanging="864"/>
      </w:pPr>
    </w:lvl>
    <w:lvl w:ilvl="4">
      <w:start w:val="1"/>
      <w:numFmt w:val="decimal"/>
      <w:pStyle w:val="Heading5"/>
      <w:lvlText w:val="%1.%2.%3.%4.%5"/>
      <w:lvlJc w:val="left"/>
      <w:pPr>
        <w:ind w:left="-5229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-5085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-4941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-4797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-4653" w:hanging="1584"/>
      </w:pPr>
    </w:lvl>
  </w:abstractNum>
  <w:abstractNum w:abstractNumId="5" w15:restartNumberingAfterBreak="0">
    <w:nsid w:val="18AF262E"/>
    <w:multiLevelType w:val="hybridMultilevel"/>
    <w:tmpl w:val="F2844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63FF"/>
    <w:multiLevelType w:val="hybridMultilevel"/>
    <w:tmpl w:val="CF3A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240A6"/>
    <w:multiLevelType w:val="multilevel"/>
    <w:tmpl w:val="DD3E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1B40DE"/>
    <w:multiLevelType w:val="hybridMultilevel"/>
    <w:tmpl w:val="6F801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C5E51"/>
    <w:multiLevelType w:val="hybridMultilevel"/>
    <w:tmpl w:val="12A49C8A"/>
    <w:lvl w:ilvl="0" w:tplc="47563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7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A75CA3"/>
    <w:multiLevelType w:val="multilevel"/>
    <w:tmpl w:val="401E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323FA4"/>
    <w:multiLevelType w:val="multilevel"/>
    <w:tmpl w:val="6E8A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ED3166"/>
    <w:multiLevelType w:val="hybridMultilevel"/>
    <w:tmpl w:val="B7EC5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67D73"/>
    <w:multiLevelType w:val="multilevel"/>
    <w:tmpl w:val="F51CC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121CBB"/>
    <w:multiLevelType w:val="multilevel"/>
    <w:tmpl w:val="D78E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636076"/>
    <w:multiLevelType w:val="hybridMultilevel"/>
    <w:tmpl w:val="CCBE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13A1A"/>
    <w:multiLevelType w:val="hybridMultilevel"/>
    <w:tmpl w:val="9454C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567C8"/>
    <w:multiLevelType w:val="hybridMultilevel"/>
    <w:tmpl w:val="118EE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06DDE"/>
    <w:multiLevelType w:val="hybridMultilevel"/>
    <w:tmpl w:val="D7E03224"/>
    <w:lvl w:ilvl="0" w:tplc="C8F87E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A769C"/>
    <w:multiLevelType w:val="hybridMultilevel"/>
    <w:tmpl w:val="044C4684"/>
    <w:lvl w:ilvl="0" w:tplc="EE700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0"/>
  </w:num>
  <w:num w:numId="5">
    <w:abstractNumId w:val="9"/>
  </w:num>
  <w:num w:numId="6">
    <w:abstractNumId w:val="20"/>
  </w:num>
  <w:num w:numId="7">
    <w:abstractNumId w:val="18"/>
  </w:num>
  <w:num w:numId="8">
    <w:abstractNumId w:val="2"/>
  </w:num>
  <w:num w:numId="9">
    <w:abstractNumId w:val="12"/>
  </w:num>
  <w:num w:numId="10">
    <w:abstractNumId w:val="14"/>
  </w:num>
  <w:num w:numId="11">
    <w:abstractNumId w:val="19"/>
  </w:num>
  <w:num w:numId="12">
    <w:abstractNumId w:val="8"/>
  </w:num>
  <w:num w:numId="13">
    <w:abstractNumId w:val="17"/>
  </w:num>
  <w:num w:numId="14">
    <w:abstractNumId w:val="6"/>
  </w:num>
  <w:num w:numId="15">
    <w:abstractNumId w:val="4"/>
  </w:num>
  <w:num w:numId="16">
    <w:abstractNumId w:val="10"/>
  </w:num>
  <w:num w:numId="17">
    <w:abstractNumId w:val="11"/>
  </w:num>
  <w:num w:numId="18">
    <w:abstractNumId w:val="15"/>
  </w:num>
  <w:num w:numId="19">
    <w:abstractNumId w:val="7"/>
  </w:num>
  <w:num w:numId="20">
    <w:abstractNumId w:val="1"/>
  </w:num>
  <w:num w:numId="21">
    <w:abstractNumId w:val="13"/>
  </w:num>
  <w:num w:numId="22">
    <w:abstractNumId w:val="5"/>
  </w:num>
  <w:num w:numId="23">
    <w:abstractNumId w:val="4"/>
    <w:lvlOverride w:ilvl="0">
      <w:startOverride w:val="3"/>
    </w:lvlOverride>
  </w:num>
  <w:num w:numId="24">
    <w:abstractNumId w:val="4"/>
    <w:lvlOverride w:ilvl="0">
      <w:startOverride w:val="3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99"/>
    <w:rsid w:val="00000220"/>
    <w:rsid w:val="00003FA3"/>
    <w:rsid w:val="000336AE"/>
    <w:rsid w:val="00047B8D"/>
    <w:rsid w:val="00055872"/>
    <w:rsid w:val="00061938"/>
    <w:rsid w:val="00061A8E"/>
    <w:rsid w:val="00064A85"/>
    <w:rsid w:val="00070A67"/>
    <w:rsid w:val="00091350"/>
    <w:rsid w:val="000A4B58"/>
    <w:rsid w:val="000B17A1"/>
    <w:rsid w:val="000B1F1A"/>
    <w:rsid w:val="000E2533"/>
    <w:rsid w:val="000F3D5A"/>
    <w:rsid w:val="001130FD"/>
    <w:rsid w:val="001222D9"/>
    <w:rsid w:val="0012242C"/>
    <w:rsid w:val="0013479C"/>
    <w:rsid w:val="00134A4D"/>
    <w:rsid w:val="00145937"/>
    <w:rsid w:val="001826CB"/>
    <w:rsid w:val="00182F00"/>
    <w:rsid w:val="00186106"/>
    <w:rsid w:val="00193958"/>
    <w:rsid w:val="00197648"/>
    <w:rsid w:val="001A015E"/>
    <w:rsid w:val="001A2A23"/>
    <w:rsid w:val="001A69C8"/>
    <w:rsid w:val="001B2FE6"/>
    <w:rsid w:val="001C52A6"/>
    <w:rsid w:val="001C586A"/>
    <w:rsid w:val="001C66B7"/>
    <w:rsid w:val="001D449E"/>
    <w:rsid w:val="001E3B50"/>
    <w:rsid w:val="001E42D4"/>
    <w:rsid w:val="001E645A"/>
    <w:rsid w:val="00217091"/>
    <w:rsid w:val="002263EB"/>
    <w:rsid w:val="00226A63"/>
    <w:rsid w:val="0023249B"/>
    <w:rsid w:val="00233EA3"/>
    <w:rsid w:val="00241368"/>
    <w:rsid w:val="00251341"/>
    <w:rsid w:val="00251425"/>
    <w:rsid w:val="002645C9"/>
    <w:rsid w:val="00272DEF"/>
    <w:rsid w:val="00277E09"/>
    <w:rsid w:val="002905E1"/>
    <w:rsid w:val="00291B3C"/>
    <w:rsid w:val="00296EA9"/>
    <w:rsid w:val="002971DF"/>
    <w:rsid w:val="002A0EEC"/>
    <w:rsid w:val="002C3D55"/>
    <w:rsid w:val="002C4573"/>
    <w:rsid w:val="002C630F"/>
    <w:rsid w:val="002D0A87"/>
    <w:rsid w:val="002D71E1"/>
    <w:rsid w:val="002E009E"/>
    <w:rsid w:val="002F3C96"/>
    <w:rsid w:val="00322E4A"/>
    <w:rsid w:val="00326CA1"/>
    <w:rsid w:val="003300B1"/>
    <w:rsid w:val="0033110D"/>
    <w:rsid w:val="00334E6D"/>
    <w:rsid w:val="003357C3"/>
    <w:rsid w:val="00343C0D"/>
    <w:rsid w:val="00344946"/>
    <w:rsid w:val="00350D9D"/>
    <w:rsid w:val="00354B0C"/>
    <w:rsid w:val="00354E13"/>
    <w:rsid w:val="0037401C"/>
    <w:rsid w:val="003B1027"/>
    <w:rsid w:val="003B3A9D"/>
    <w:rsid w:val="003C7F63"/>
    <w:rsid w:val="003C7FEA"/>
    <w:rsid w:val="003D7B6F"/>
    <w:rsid w:val="003E4F0B"/>
    <w:rsid w:val="00402898"/>
    <w:rsid w:val="004036EB"/>
    <w:rsid w:val="00404303"/>
    <w:rsid w:val="0042022E"/>
    <w:rsid w:val="0043145A"/>
    <w:rsid w:val="00435A0C"/>
    <w:rsid w:val="00437510"/>
    <w:rsid w:val="00443784"/>
    <w:rsid w:val="00450305"/>
    <w:rsid w:val="00457242"/>
    <w:rsid w:val="0046041D"/>
    <w:rsid w:val="00466681"/>
    <w:rsid w:val="00490E25"/>
    <w:rsid w:val="00495322"/>
    <w:rsid w:val="004B5101"/>
    <w:rsid w:val="004B7AA6"/>
    <w:rsid w:val="004C4643"/>
    <w:rsid w:val="004C54C0"/>
    <w:rsid w:val="004C5AF5"/>
    <w:rsid w:val="004D028E"/>
    <w:rsid w:val="004D17C7"/>
    <w:rsid w:val="004E5F3F"/>
    <w:rsid w:val="004E614F"/>
    <w:rsid w:val="004E61D9"/>
    <w:rsid w:val="005331DD"/>
    <w:rsid w:val="005355A6"/>
    <w:rsid w:val="005366F8"/>
    <w:rsid w:val="005413D3"/>
    <w:rsid w:val="0055338A"/>
    <w:rsid w:val="00553C1A"/>
    <w:rsid w:val="00555181"/>
    <w:rsid w:val="005756E8"/>
    <w:rsid w:val="0057663B"/>
    <w:rsid w:val="005843EF"/>
    <w:rsid w:val="00594023"/>
    <w:rsid w:val="00595538"/>
    <w:rsid w:val="005A07B9"/>
    <w:rsid w:val="005A089F"/>
    <w:rsid w:val="005B4F9B"/>
    <w:rsid w:val="005B522F"/>
    <w:rsid w:val="005C46F5"/>
    <w:rsid w:val="005C66F3"/>
    <w:rsid w:val="005D1110"/>
    <w:rsid w:val="005E37DF"/>
    <w:rsid w:val="005F5DB7"/>
    <w:rsid w:val="00610D04"/>
    <w:rsid w:val="006241F9"/>
    <w:rsid w:val="0065082C"/>
    <w:rsid w:val="00674274"/>
    <w:rsid w:val="00677429"/>
    <w:rsid w:val="006842A5"/>
    <w:rsid w:val="006901F5"/>
    <w:rsid w:val="006C2FE5"/>
    <w:rsid w:val="006D049E"/>
    <w:rsid w:val="006D1FFF"/>
    <w:rsid w:val="006D5BA1"/>
    <w:rsid w:val="006D65FC"/>
    <w:rsid w:val="006E25D4"/>
    <w:rsid w:val="006E4415"/>
    <w:rsid w:val="006E4EBD"/>
    <w:rsid w:val="006F2723"/>
    <w:rsid w:val="006F3176"/>
    <w:rsid w:val="00711565"/>
    <w:rsid w:val="00737EA4"/>
    <w:rsid w:val="0075575D"/>
    <w:rsid w:val="007625C2"/>
    <w:rsid w:val="0076318B"/>
    <w:rsid w:val="00773A81"/>
    <w:rsid w:val="0077776F"/>
    <w:rsid w:val="00777DE9"/>
    <w:rsid w:val="0078729C"/>
    <w:rsid w:val="007925CF"/>
    <w:rsid w:val="007A18EF"/>
    <w:rsid w:val="007A3BBF"/>
    <w:rsid w:val="007A45F8"/>
    <w:rsid w:val="007B0BB3"/>
    <w:rsid w:val="007B290B"/>
    <w:rsid w:val="007B7CF8"/>
    <w:rsid w:val="007C0C43"/>
    <w:rsid w:val="007C2A46"/>
    <w:rsid w:val="007C44D8"/>
    <w:rsid w:val="007C47C3"/>
    <w:rsid w:val="007C5AE3"/>
    <w:rsid w:val="007C5ED5"/>
    <w:rsid w:val="007D5AC4"/>
    <w:rsid w:val="007E553D"/>
    <w:rsid w:val="007F6065"/>
    <w:rsid w:val="00800BCB"/>
    <w:rsid w:val="008179A9"/>
    <w:rsid w:val="00817D1D"/>
    <w:rsid w:val="00817E6A"/>
    <w:rsid w:val="00835F51"/>
    <w:rsid w:val="00841AE7"/>
    <w:rsid w:val="00841CB5"/>
    <w:rsid w:val="00843FC1"/>
    <w:rsid w:val="00850ED1"/>
    <w:rsid w:val="008553DC"/>
    <w:rsid w:val="008735AF"/>
    <w:rsid w:val="0087790D"/>
    <w:rsid w:val="008A17DA"/>
    <w:rsid w:val="008A28F1"/>
    <w:rsid w:val="008A312F"/>
    <w:rsid w:val="008B7642"/>
    <w:rsid w:val="008C31C6"/>
    <w:rsid w:val="008C5E55"/>
    <w:rsid w:val="008C609E"/>
    <w:rsid w:val="008F6861"/>
    <w:rsid w:val="009028A9"/>
    <w:rsid w:val="00915B40"/>
    <w:rsid w:val="00922955"/>
    <w:rsid w:val="00930621"/>
    <w:rsid w:val="00936BEA"/>
    <w:rsid w:val="009652BB"/>
    <w:rsid w:val="00967A20"/>
    <w:rsid w:val="00971314"/>
    <w:rsid w:val="0097199D"/>
    <w:rsid w:val="00975E71"/>
    <w:rsid w:val="00983510"/>
    <w:rsid w:val="00983573"/>
    <w:rsid w:val="009843B2"/>
    <w:rsid w:val="009860A3"/>
    <w:rsid w:val="0098629D"/>
    <w:rsid w:val="009B6E8E"/>
    <w:rsid w:val="009D4CE3"/>
    <w:rsid w:val="009E04C5"/>
    <w:rsid w:val="009F4846"/>
    <w:rsid w:val="009F4B36"/>
    <w:rsid w:val="009F4F80"/>
    <w:rsid w:val="00A1192F"/>
    <w:rsid w:val="00A2138A"/>
    <w:rsid w:val="00A21DB8"/>
    <w:rsid w:val="00A2580D"/>
    <w:rsid w:val="00A40202"/>
    <w:rsid w:val="00A42159"/>
    <w:rsid w:val="00A47AA8"/>
    <w:rsid w:val="00A529A5"/>
    <w:rsid w:val="00A56308"/>
    <w:rsid w:val="00A61D4B"/>
    <w:rsid w:val="00A70DC4"/>
    <w:rsid w:val="00A75A4F"/>
    <w:rsid w:val="00A8518B"/>
    <w:rsid w:val="00AB56AB"/>
    <w:rsid w:val="00AC18D4"/>
    <w:rsid w:val="00AC4DF5"/>
    <w:rsid w:val="00AC7F8A"/>
    <w:rsid w:val="00AE6AE0"/>
    <w:rsid w:val="00AF134B"/>
    <w:rsid w:val="00AF1871"/>
    <w:rsid w:val="00AF384B"/>
    <w:rsid w:val="00B02F43"/>
    <w:rsid w:val="00B047F8"/>
    <w:rsid w:val="00B123F0"/>
    <w:rsid w:val="00B14DE8"/>
    <w:rsid w:val="00B32742"/>
    <w:rsid w:val="00B446B2"/>
    <w:rsid w:val="00B46070"/>
    <w:rsid w:val="00B5224B"/>
    <w:rsid w:val="00B64B99"/>
    <w:rsid w:val="00B735D7"/>
    <w:rsid w:val="00B81D53"/>
    <w:rsid w:val="00B84DCD"/>
    <w:rsid w:val="00BA0508"/>
    <w:rsid w:val="00BB2654"/>
    <w:rsid w:val="00BB3ED8"/>
    <w:rsid w:val="00BB5A9C"/>
    <w:rsid w:val="00BC0056"/>
    <w:rsid w:val="00BD1CC5"/>
    <w:rsid w:val="00BF32A4"/>
    <w:rsid w:val="00C17C58"/>
    <w:rsid w:val="00C303C0"/>
    <w:rsid w:val="00C32115"/>
    <w:rsid w:val="00C419AE"/>
    <w:rsid w:val="00C47322"/>
    <w:rsid w:val="00C50A6B"/>
    <w:rsid w:val="00C7522B"/>
    <w:rsid w:val="00C8127B"/>
    <w:rsid w:val="00C83FDB"/>
    <w:rsid w:val="00C93210"/>
    <w:rsid w:val="00CC6C9B"/>
    <w:rsid w:val="00CF7F19"/>
    <w:rsid w:val="00D021F8"/>
    <w:rsid w:val="00D0674E"/>
    <w:rsid w:val="00D1452A"/>
    <w:rsid w:val="00D14824"/>
    <w:rsid w:val="00D17383"/>
    <w:rsid w:val="00D24B83"/>
    <w:rsid w:val="00D271A7"/>
    <w:rsid w:val="00D313F3"/>
    <w:rsid w:val="00D40A8E"/>
    <w:rsid w:val="00D531A9"/>
    <w:rsid w:val="00D62528"/>
    <w:rsid w:val="00D6571C"/>
    <w:rsid w:val="00D80156"/>
    <w:rsid w:val="00D84A9C"/>
    <w:rsid w:val="00D87A96"/>
    <w:rsid w:val="00D90502"/>
    <w:rsid w:val="00D90E58"/>
    <w:rsid w:val="00D968EB"/>
    <w:rsid w:val="00DA2928"/>
    <w:rsid w:val="00DA4BD3"/>
    <w:rsid w:val="00DB2E08"/>
    <w:rsid w:val="00DD0DA9"/>
    <w:rsid w:val="00DD6ACA"/>
    <w:rsid w:val="00DE11B3"/>
    <w:rsid w:val="00E20649"/>
    <w:rsid w:val="00E331BC"/>
    <w:rsid w:val="00E51D44"/>
    <w:rsid w:val="00E54320"/>
    <w:rsid w:val="00E54515"/>
    <w:rsid w:val="00E72795"/>
    <w:rsid w:val="00E81EC2"/>
    <w:rsid w:val="00E84F15"/>
    <w:rsid w:val="00E90D1F"/>
    <w:rsid w:val="00E95CDA"/>
    <w:rsid w:val="00EB4FE7"/>
    <w:rsid w:val="00EC2E41"/>
    <w:rsid w:val="00EC6F58"/>
    <w:rsid w:val="00EE30EE"/>
    <w:rsid w:val="00EE41C8"/>
    <w:rsid w:val="00EF180F"/>
    <w:rsid w:val="00EF731E"/>
    <w:rsid w:val="00F067A9"/>
    <w:rsid w:val="00F075FF"/>
    <w:rsid w:val="00F141BF"/>
    <w:rsid w:val="00F375CF"/>
    <w:rsid w:val="00F53A6E"/>
    <w:rsid w:val="00F56141"/>
    <w:rsid w:val="00F64A8D"/>
    <w:rsid w:val="00F755AB"/>
    <w:rsid w:val="00F77345"/>
    <w:rsid w:val="00F90D99"/>
    <w:rsid w:val="00FA2C1F"/>
    <w:rsid w:val="00FA3C0C"/>
    <w:rsid w:val="00FA5F38"/>
    <w:rsid w:val="00FB3B42"/>
    <w:rsid w:val="00FC42BE"/>
    <w:rsid w:val="00FD7D24"/>
    <w:rsid w:val="00FE224B"/>
    <w:rsid w:val="00FF3534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B2FC8"/>
  <w15:docId w15:val="{A091E28D-FB31-412A-B891-8FA2E955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41BF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89F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89F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89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89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89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89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89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89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89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0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D99"/>
  </w:style>
  <w:style w:type="paragraph" w:styleId="Footer">
    <w:name w:val="footer"/>
    <w:basedOn w:val="Normal"/>
    <w:link w:val="FooterChar"/>
    <w:uiPriority w:val="99"/>
    <w:unhideWhenUsed/>
    <w:rsid w:val="00F90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D99"/>
  </w:style>
  <w:style w:type="table" w:styleId="TableGrid">
    <w:name w:val="Table Grid"/>
    <w:basedOn w:val="TableNormal"/>
    <w:uiPriority w:val="59"/>
    <w:rsid w:val="00F9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A089F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A089F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A0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A089F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C5E55"/>
    <w:pPr>
      <w:tabs>
        <w:tab w:val="left" w:pos="350"/>
        <w:tab w:val="right" w:leader="dot" w:pos="9010"/>
      </w:tabs>
    </w:pPr>
    <w:rPr>
      <w:rFonts w:asciiTheme="minorHAnsi" w:hAnsiTheme="minorHAnsi" w:cstheme="minorHAnsi"/>
      <w:b/>
      <w:bCs/>
      <w:caps/>
      <w:noProof/>
      <w:color w:val="000000" w:themeColor="text1"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A089F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A089F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A089F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A089F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A089F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A089F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A089F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A089F"/>
    <w:rPr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5A089F"/>
    <w:pPr>
      <w:ind w:left="480" w:hanging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8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89F"/>
    <w:rPr>
      <w:rFonts w:ascii="Times New Roman" w:hAnsi="Times New Roman" w:cs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610D04"/>
    <w:pPr>
      <w:spacing w:after="200"/>
    </w:pPr>
    <w:rPr>
      <w:i/>
      <w:iCs/>
      <w:color w:val="44546A" w:themeColor="text2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A08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08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8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8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8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8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8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8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6774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E2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0B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B0BB3"/>
  </w:style>
  <w:style w:type="character" w:customStyle="1" w:styleId="CommentTextChar">
    <w:name w:val="Comment Text Char"/>
    <w:basedOn w:val="DefaultParagraphFont"/>
    <w:link w:val="CommentText"/>
    <w:uiPriority w:val="99"/>
    <w:rsid w:val="007B0B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B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B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B3ED8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9652BB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9652BB"/>
  </w:style>
  <w:style w:type="character" w:styleId="Strong">
    <w:name w:val="Strong"/>
    <w:basedOn w:val="DefaultParagraphFont"/>
    <w:uiPriority w:val="22"/>
    <w:qFormat/>
    <w:rsid w:val="00E20649"/>
    <w:rPr>
      <w:b/>
      <w:bCs/>
    </w:rPr>
  </w:style>
  <w:style w:type="paragraph" w:customStyle="1" w:styleId="p">
    <w:name w:val="p"/>
    <w:basedOn w:val="Normal"/>
    <w:rsid w:val="006E25D4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6E25D4"/>
    <w:rPr>
      <w:i/>
      <w:iCs/>
    </w:rPr>
  </w:style>
  <w:style w:type="character" w:customStyle="1" w:styleId="anchor-text">
    <w:name w:val="anchor-text"/>
    <w:basedOn w:val="DefaultParagraphFont"/>
    <w:rsid w:val="007C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medicine-and-dentistry/oxidative-phosphorylation" TargetMode="External"/><Relationship Id="rId13" Type="http://schemas.openxmlformats.org/officeDocument/2006/relationships/hyperlink" Target="https://www.sciencedirect.com/topics/medicine-and-dentistry/liquid-nitrogen" TargetMode="External"/><Relationship Id="rId18" Type="http://schemas.openxmlformats.org/officeDocument/2006/relationships/hyperlink" Target="https://www.sciencedirect.com/topics/medicine-and-dentistry/pathologist" TargetMode="External"/><Relationship Id="rId26" Type="http://schemas.openxmlformats.org/officeDocument/2006/relationships/hyperlink" Target="https://www.sciencedirect.com/topics/biochemistry-genetics-and-molecular-biology/positio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ncedirect.com/topics/medicine-and-dentistry/radioactive-trac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topics/medicine-and-dentistry/neoadjuvant-chemotherapy" TargetMode="External"/><Relationship Id="rId17" Type="http://schemas.openxmlformats.org/officeDocument/2006/relationships/hyperlink" Target="https://www.sciencedirect.com/topics/medicine-and-dentistry/signal-transduction" TargetMode="External"/><Relationship Id="rId25" Type="http://schemas.openxmlformats.org/officeDocument/2006/relationships/hyperlink" Target="https://www.sciencedirect.com/topics/medicine-and-dentistry/skull-ba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topics/biochemistry-genetics-and-molecular-biology/signal-transduction" TargetMode="External"/><Relationship Id="rId20" Type="http://schemas.openxmlformats.org/officeDocument/2006/relationships/hyperlink" Target="https://www.sciencedirect.com/topics/biochemistry-genetics-and-molecular-biology/immunoreactivit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topics/medicine-and-dentistry/medical-oncology" TargetMode="External"/><Relationship Id="rId24" Type="http://schemas.openxmlformats.org/officeDocument/2006/relationships/hyperlink" Target="https://www.sciencedirect.com/topics/biochemistry-genetics-and-molecular-biology/positron-emission-tomograph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topics/biochemistry-genetics-and-molecular-biology/lipid-profile" TargetMode="External"/><Relationship Id="rId23" Type="http://schemas.openxmlformats.org/officeDocument/2006/relationships/hyperlink" Target="https://www.sciencedirect.com/topics/medicine-and-dentistry/blood-glucos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ciencedirect.com/topics/medicine-and-dentistry/genetic-transcription" TargetMode="External"/><Relationship Id="rId19" Type="http://schemas.openxmlformats.org/officeDocument/2006/relationships/hyperlink" Target="https://www.sciencedirect.com/topics/biochemistry-genetics-and-molecular-biology/immunostai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topics/biochemistry-genetics-and-molecular-biology/oxidative-phosphorylation" TargetMode="External"/><Relationship Id="rId14" Type="http://schemas.openxmlformats.org/officeDocument/2006/relationships/hyperlink" Target="https://www.sciencedirect.com/topics/medicine-and-dentistry/biopsy-sample" TargetMode="External"/><Relationship Id="rId22" Type="http://schemas.openxmlformats.org/officeDocument/2006/relationships/hyperlink" Target="https://www.sciencedirect.com/topics/biochemistry-genetics-and-molecular-biology/glucose-blood-leve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CF0ABD-E4AB-4E2F-B75F-A130EFD8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Youdell</dc:creator>
  <cp:keywords/>
  <dc:description/>
  <cp:lastModifiedBy>Susannah Cronin</cp:lastModifiedBy>
  <cp:revision>2</cp:revision>
  <cp:lastPrinted>2019-04-26T09:44:00Z</cp:lastPrinted>
  <dcterms:created xsi:type="dcterms:W3CDTF">2024-10-01T08:01:00Z</dcterms:created>
  <dcterms:modified xsi:type="dcterms:W3CDTF">2024-10-01T08:01:00Z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159ef414-b613-3c23-9626-6e62ccc94c92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GrammarlyDocumentId">
    <vt:lpwstr>c81f3395f28ac278a9d81119035b656f67811d3f4b8298408d618d7e00654816</vt:lpwstr>
  </property>
</Properties>
</file>